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Konečného náměstí 3, byt č. 101</w:t>
      </w:r>
    </w:p>
    <w:p>
      <w:pPr>
        <w:spacing w:after="0"/>
        <w:ind w:left="-57"/>
        <w:jc w:val="both"/>
      </w:pPr>
      <w:r>
        <w:rPr>
          <w:b/>
          <w:sz w:val="22"/>
          <w:szCs w:val="22"/>
        </w:rPr>
        <w:t xml:space="preserve">Katastrální území: </w:t>
      </w:r>
      <w:r>
        <w:rPr>
          <w:sz w:val="22"/>
          <w:szCs w:val="22"/>
        </w:rPr>
        <w:t>Veveří</w:t>
      </w:r>
    </w:p>
    <w:p>
      <w:pPr>
        <w:spacing w:after="0"/>
        <w:ind w:left="-57"/>
        <w:jc w:val="both"/>
      </w:pPr>
      <w:r>
        <w:rPr>
          <w:b/>
          <w:sz w:val="22"/>
          <w:szCs w:val="22"/>
        </w:rPr>
        <w:t>Podlaží:</w:t>
      </w:r>
      <w:r>
        <w:t xml:space="preserve"> 5.NP</w:t>
      </w:r>
    </w:p>
    <w:p>
      <w:pPr>
        <w:spacing w:after="0"/>
        <w:ind w:left="-57"/>
        <w:jc w:val="both"/>
      </w:pPr>
      <w:r>
        <w:rPr>
          <w:b/>
          <w:sz w:val="22"/>
          <w:szCs w:val="22"/>
        </w:rPr>
        <w:t xml:space="preserve">Velikost: </w:t>
      </w:r>
      <w:r>
        <w:rPr>
          <w:sz w:val="22"/>
          <w:szCs w:val="22"/>
        </w:rPr>
        <w:t>1+1</w:t>
      </w:r>
      <w:r>
        <w:t xml:space="preserve">   </w:t>
      </w:r>
    </w:p>
    <w:p>
      <w:pPr>
        <w:spacing w:after="0"/>
        <w:ind w:left="-57"/>
        <w:jc w:val="both"/>
      </w:pPr>
      <w:r>
        <w:rPr>
          <w:b/>
          <w:sz w:val="22"/>
          <w:szCs w:val="22"/>
        </w:rPr>
        <w:t>Plocha bytu:</w:t>
      </w:r>
      <w:r>
        <w:t xml:space="preserve"> 64,4</w:t>
      </w:r>
    </w:p>
    <w:p>
      <w:pPr>
        <w:spacing w:after="0"/>
        <w:ind w:left="-57"/>
        <w:jc w:val="both"/>
      </w:pPr>
      <w:r>
        <w:rPr>
          <w:b/>
          <w:sz w:val="22"/>
          <w:szCs w:val="22"/>
        </w:rPr>
        <w:t>Památkově chráněno:</w:t>
      </w:r>
      <w:r>
        <w:t xml:space="preserve">   kulturní památka, již nechráněno</w:t>
      </w:r>
    </w:p>
    <w:p>
      <w:pPr>
        <w:spacing w:after="0"/>
        <w:ind w:left="-57"/>
        <w:jc w:val="both"/>
      </w:pPr>
      <w:r>
        <w:rPr>
          <w:b/>
          <w:sz w:val="22"/>
          <w:szCs w:val="22"/>
        </w:rPr>
        <w:t>V památkové rezervaci:</w:t>
      </w:r>
      <w:r>
        <w:t xml:space="preserve"> ano</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ZHODNOCENÍ STÁVAJÍCÍHO STAVU BYTU</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zavěšené konstrukce, vyklidit byt a odstranit původní zařizovací předměty a spotřebiče. Navrhnout nově dispoziční řešení koupelny, WC (komplet nové – závěsné) a kuchyňskou linku řešit projekčně (nebude součástí stavby). Mezi místnostmi 5.101.04 a 5.101.03 je rozdílná výšková úroveň – dřevěné schodiště (3 stupně). Schodiště je potřeba navrhnout nově.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z větší části v pořádku, v místnosti 5.101.04 – svislé praskliny kolem oken. Lokální mapy po zatečení - malby oškrábat, opravit omítky po instalacích a bouracích pracích.</w:t>
      </w:r>
    </w:p>
    <w:p>
      <w:pPr>
        <w:pStyle w:val="Odstavecseseznamem"/>
        <w:spacing w:after="0"/>
        <w:ind w:left="1068"/>
        <w:jc w:val="both"/>
      </w:pPr>
      <w:r>
        <w:rPr>
          <w:i/>
        </w:rPr>
        <w:t xml:space="preserve">keramické obklady </w:t>
      </w:r>
      <w:r>
        <w:t>– jsou v koupelně  – vybourat. Obklady dodat nové.</w:t>
      </w:r>
    </w:p>
    <w:p>
      <w:pPr>
        <w:pStyle w:val="Odstavecseseznamem"/>
        <w:spacing w:after="0"/>
        <w:ind w:left="1068"/>
        <w:jc w:val="both"/>
      </w:pPr>
      <w:r>
        <w:rPr>
          <w:u w:val="single"/>
        </w:rPr>
        <w:t>Podlahy</w:t>
      </w:r>
      <w:r>
        <w:t xml:space="preserve"> – </w:t>
      </w:r>
    </w:p>
    <w:p>
      <w:pPr>
        <w:pStyle w:val="Odstavecseseznamem"/>
        <w:spacing w:after="0"/>
        <w:ind w:left="1068"/>
        <w:jc w:val="both"/>
      </w:pPr>
      <w:r>
        <w:rPr>
          <w:i/>
        </w:rPr>
        <w:t>stávající parketové podlahy</w:t>
      </w:r>
      <w:r>
        <w:t xml:space="preserve"> – v místnosti 5.101.04 – lokálně kolem stěn nesoudržné a propadlé – nutno zvážit zda lze podlahu repasovat nebo vyměnit za novou včetně skladby podlahy. V místnosti 5.101.03 jsou částečně původní parkety a částečně dlažba.</w:t>
      </w:r>
    </w:p>
    <w:p>
      <w:pPr>
        <w:pStyle w:val="Odstavecseseznamem"/>
        <w:spacing w:after="0"/>
        <w:ind w:left="1068"/>
        <w:jc w:val="both"/>
      </w:pPr>
      <w:r>
        <w:rPr>
          <w:i/>
        </w:rPr>
        <w:t>keramická</w:t>
      </w:r>
      <w:r>
        <w:t xml:space="preserve"> </w:t>
      </w:r>
      <w:r>
        <w:rPr>
          <w:i/>
        </w:rPr>
        <w:t>dlažba</w:t>
      </w:r>
      <w:r>
        <w:t xml:space="preserve"> – v koupelně a částečně v místnosti 5.101.03 – vybourat. Dlažbu dodat novou.</w:t>
      </w:r>
    </w:p>
    <w:p>
      <w:pPr>
        <w:pStyle w:val="Odstavecseseznamem"/>
        <w:spacing w:after="0"/>
        <w:ind w:left="1068"/>
        <w:jc w:val="both"/>
      </w:pPr>
      <w:r>
        <w:t>Přechody mezi místnostmi – široké prahy na šířku zdí.</w:t>
      </w:r>
    </w:p>
    <w:p>
      <w:pPr>
        <w:pStyle w:val="Odstavecseseznamem"/>
        <w:spacing w:after="0"/>
        <w:ind w:left="1068"/>
        <w:jc w:val="both"/>
      </w:pPr>
      <w:r>
        <w:rPr>
          <w:u w:val="single"/>
        </w:rPr>
        <w:t>Stropy</w:t>
      </w:r>
      <w:r>
        <w:t xml:space="preserve"> – lehce popraskaná malba – místnost 5.101.04 – zdobení uprostřed stropu kolem osvětlení.</w:t>
      </w:r>
    </w:p>
    <w:p>
      <w:pPr>
        <w:pStyle w:val="Odstavecseseznamem"/>
        <w:spacing w:after="0"/>
        <w:ind w:left="1068"/>
        <w:jc w:val="both"/>
      </w:pPr>
    </w:p>
    <w:p>
      <w:pPr>
        <w:pStyle w:val="Odstavecseseznamem"/>
        <w:numPr>
          <w:ilvl w:val="0"/>
          <w:numId w:val="2"/>
        </w:numPr>
        <w:spacing w:after="0"/>
        <w:jc w:val="both"/>
      </w:pPr>
      <w:r>
        <w:t>Výplně otvorů:</w:t>
      </w:r>
    </w:p>
    <w:p>
      <w:pPr>
        <w:pStyle w:val="Odstavecseseznamem"/>
        <w:spacing w:after="0"/>
        <w:ind w:left="1068"/>
        <w:jc w:val="both"/>
      </w:pPr>
      <w:r>
        <w:t xml:space="preserve">Dveře </w:t>
      </w:r>
    </w:p>
    <w:p>
      <w:pPr>
        <w:pStyle w:val="Odstavecseseznamem"/>
        <w:numPr>
          <w:ilvl w:val="0"/>
          <w:numId w:val="3"/>
        </w:numPr>
        <w:spacing w:after="0"/>
        <w:jc w:val="both"/>
      </w:pPr>
      <w:r>
        <w:t>vstupní dveře a zárubně – původní dvoukřídlé dřevěné dveře a zárubně - repase</w:t>
      </w:r>
    </w:p>
    <w:p>
      <w:pPr>
        <w:pStyle w:val="Odstavecseseznamem"/>
        <w:numPr>
          <w:ilvl w:val="0"/>
          <w:numId w:val="3"/>
        </w:numPr>
        <w:spacing w:after="0"/>
        <w:jc w:val="both"/>
      </w:pPr>
      <w:r>
        <w:t xml:space="preserve">Interiérové dveře – původní dřevěné dveře + dřevěné zárubně - repase. </w:t>
      </w:r>
    </w:p>
    <w:p>
      <w:pPr>
        <w:pStyle w:val="Odstavecseseznamem"/>
        <w:numPr>
          <w:ilvl w:val="0"/>
          <w:numId w:val="3"/>
        </w:numPr>
        <w:spacing w:after="0"/>
        <w:jc w:val="both"/>
      </w:pPr>
      <w:r>
        <w:t>Kování – opravit a v celém bytě sjednotit.</w:t>
      </w:r>
    </w:p>
    <w:p>
      <w:pPr>
        <w:pStyle w:val="Odstavecseseznamem"/>
        <w:spacing w:after="0"/>
        <w:ind w:left="1068"/>
        <w:jc w:val="both"/>
      </w:pPr>
      <w:r>
        <w:lastRenderedPageBreak/>
        <w:t xml:space="preserve">Okna </w:t>
      </w:r>
    </w:p>
    <w:p>
      <w:pPr>
        <w:pStyle w:val="Odstavecseseznamem"/>
        <w:numPr>
          <w:ilvl w:val="0"/>
          <w:numId w:val="3"/>
        </w:numPr>
        <w:spacing w:after="0"/>
        <w:jc w:val="both"/>
      </w:pPr>
      <w:r>
        <w:t>stávající dřevěná dvojitá okna – repase. Před okny sochy.</w:t>
      </w:r>
    </w:p>
    <w:p>
      <w:pPr>
        <w:pStyle w:val="Odstavecseseznamem"/>
        <w:numPr>
          <w:ilvl w:val="0"/>
          <w:numId w:val="3"/>
        </w:numPr>
        <w:spacing w:after="0"/>
        <w:jc w:val="both"/>
      </w:pPr>
      <w:r>
        <w:t>tabulková okna do společné chodby - řešit zda jsou okna vhodná k repasi a zda je stávající otevírání vyhovující z pohledu běžného uživatele nebo zda bude vhodnější okna vybourat a otvory zazdít.</w:t>
      </w:r>
    </w:p>
    <w:p>
      <w:pPr>
        <w:pStyle w:val="Odstavecseseznamem"/>
        <w:numPr>
          <w:ilvl w:val="0"/>
          <w:numId w:val="3"/>
        </w:numPr>
        <w:spacing w:after="0"/>
        <w:jc w:val="both"/>
      </w:pPr>
      <w:r>
        <w:t>vnitřní parapety – repase, případně nové</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nově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t>ZTI -  původní rozvody zrušit – nové rozvody dle nově navržené dispozice koupelny, WC a kuchyňské linky. Stávající vodoměr v koupelně. Ohřev TUV – viz vytápění.</w:t>
      </w:r>
    </w:p>
    <w:p>
      <w:pPr>
        <w:pStyle w:val="Odstavecseseznamem"/>
        <w:numPr>
          <w:ilvl w:val="1"/>
          <w:numId w:val="1"/>
        </w:numPr>
        <w:spacing w:after="0"/>
        <w:jc w:val="both"/>
      </w:pPr>
      <w:r>
        <w:t xml:space="preserve">Plyn – stávající plynový kotel </w:t>
      </w:r>
      <w:proofErr w:type="spellStart"/>
      <w:r>
        <w:t>Destila</w:t>
      </w:r>
      <w:proofErr w:type="spellEnd"/>
      <w:r>
        <w:t xml:space="preserve"> DPL 12 umístěný v místnosti 5.101.01 - odstranit</w:t>
      </w:r>
    </w:p>
    <w:p>
      <w:pPr>
        <w:pStyle w:val="Odstavecseseznamem"/>
        <w:numPr>
          <w:ilvl w:val="1"/>
          <w:numId w:val="1"/>
        </w:numPr>
        <w:spacing w:after="0"/>
        <w:jc w:val="both"/>
      </w:pPr>
      <w:r>
        <w:t>VZT – stávající ne, navrhnout nově</w:t>
      </w:r>
    </w:p>
    <w:p>
      <w:pPr>
        <w:pStyle w:val="Odstavecseseznamem"/>
        <w:numPr>
          <w:ilvl w:val="1"/>
          <w:numId w:val="1"/>
        </w:numPr>
        <w:spacing w:after="0"/>
        <w:jc w:val="both"/>
      </w:pPr>
      <w:r>
        <w:t>Vytápění – navrhnout nový systém vytápění – elektrokotel včetně ohřevu TUV. Stávající otopná tělesa – odstranit a navrhnout nová otopná desková tělesa. V koupelně doplnit žebříkový radiátor. Prověřit kapacitu elektroměrového rozvaděče v domě a navrhnout jeho případné úpravy v případě, že bude zvolen elektrokotel.</w:t>
      </w:r>
    </w:p>
    <w:p>
      <w:pPr>
        <w:pStyle w:val="Odstavecseseznamem"/>
        <w:spacing w:after="0"/>
        <w:ind w:left="1023"/>
        <w:jc w:val="both"/>
      </w:pPr>
      <w:r>
        <w:t>Radiátory – vyměnit za nové, v koupelně doplnit žebříkový radiátor</w:t>
      </w:r>
    </w:p>
    <w:p>
      <w:pPr>
        <w:pStyle w:val="Odstavecseseznamem"/>
        <w:numPr>
          <w:ilvl w:val="1"/>
          <w:numId w:val="1"/>
        </w:numPr>
        <w:spacing w:after="0"/>
        <w:jc w:val="both"/>
      </w:pPr>
      <w:r>
        <w:t>Silnoproud – el. skříň u vstupních dveří, rozvody komplet nové</w:t>
      </w:r>
    </w:p>
    <w:p>
      <w:pPr>
        <w:pStyle w:val="Odstavecseseznamem"/>
        <w:numPr>
          <w:ilvl w:val="1"/>
          <w:numId w:val="1"/>
        </w:numPr>
        <w:spacing w:after="0"/>
        <w:jc w:val="both"/>
      </w:pPr>
      <w:r>
        <w:t>Slaboproud – domovní telefon – u dveří – prověřit funkčnost, připojit byt na STA</w:t>
      </w:r>
    </w:p>
    <w:p>
      <w:pPr>
        <w:spacing w:after="0"/>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 xml:space="preserve">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w:t>
      </w:r>
      <w:r>
        <w:lastRenderedPageBreak/>
        <w:t>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 xml:space="preserve">v případě, kde bude nutné provést nové podkladní vrstvy, tak realizovat skladby včetně odpovídajících podkladních vrstev, zvážit možnost provedení kročejových izolací s ohledem na umístění bytu a prostorové možnosti </w:t>
      </w:r>
      <w:r>
        <w:lastRenderedPageBreak/>
        <w:t>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lastRenderedPageBreak/>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lastRenderedPageBreak/>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lastRenderedPageBreak/>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bookmarkStart w:id="0" w:name="_GoBack"/>
      <w:bookmarkEnd w:id="0"/>
    </w:p>
    <w:p>
      <w:pPr>
        <w:spacing w:after="0"/>
        <w:jc w:val="both"/>
      </w:pPr>
      <w:r>
        <w:t>20.7.2022 R. Čadová</w:t>
      </w: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1</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2176</Words>
  <Characters>12840</Characters>
  <Application>Microsoft Office Word</Application>
  <DocSecurity>0</DocSecurity>
  <Lines>107</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10</cp:revision>
  <cp:lastPrinted>2022-01-05T11:37:00Z</cp:lastPrinted>
  <dcterms:created xsi:type="dcterms:W3CDTF">2022-07-19T11:14:00Z</dcterms:created>
  <dcterms:modified xsi:type="dcterms:W3CDTF">2022-07-20T07:13:00Z</dcterms:modified>
</cp:coreProperties>
</file>