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b/>
        </w:rPr>
      </w:pPr>
      <w:r>
        <w:rPr>
          <w:b/>
        </w:rPr>
        <w:t>Technický popis k veřejné zakázce: „Úvoz 118 - modernizace výtahu“</w:t>
      </w: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>Jedná se o návrh výtahu pro dům Úvoz 118 ve stávající zděné výtahové šachtě.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</w:t>
      </w:r>
      <w:bookmarkStart w:id="0" w:name="_GoBack"/>
      <w:bookmarkEnd w:id="0"/>
      <w:r>
        <w:t>potřeby domu a jeho odběr bude měřen podružným elektroměrem. Nástupiště budou osvětlena dle platných norem a legislativy.</w:t>
      </w:r>
    </w:p>
    <w:p>
      <w:pPr>
        <w:jc w:val="both"/>
      </w:pPr>
      <w:r>
        <w:t xml:space="preserve">Bude proveden průzkum dna výtahové šachty v souvislosti s vlhkostí, případně bude provedeno odizolování. 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11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4 osoby/1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Budou provedeny 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Ing. Renata Čadová</cp:lastModifiedBy>
  <cp:revision>5</cp:revision>
  <cp:lastPrinted>2022-03-25T11:21:00Z</cp:lastPrinted>
  <dcterms:created xsi:type="dcterms:W3CDTF">2022-11-14T10:14:00Z</dcterms:created>
  <dcterms:modified xsi:type="dcterms:W3CDTF">2022-11-28T06:43:00Z</dcterms:modified>
</cp:coreProperties>
</file>