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Protokol o otevírání nabídek </w:t>
      </w:r>
    </w:p>
    <w:p>
      <w:pPr>
        <w:jc w:val="center"/>
        <w:rPr>
          <w:rFonts w:ascii="Arial" w:hAnsi="Arial"/>
          <w:b/>
          <w:bCs/>
          <w:sz w:val="20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Zadavatel veřejné zakázky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Název odboru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>Odbor investiční a správy bytových domů</w:t>
      </w:r>
    </w:p>
    <w:p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3828" w:right="170" w:hanging="3686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Název veřejné zakázky: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i/>
          <w:sz w:val="20"/>
        </w:rPr>
        <w:t>Zajištění nepřetržité havarijní služby v domech pro MČ Brno-střed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Cs/>
          <w:sz w:val="20"/>
        </w:rPr>
      </w:pPr>
      <w:r>
        <w:rPr>
          <w:rFonts w:ascii="Arial" w:hAnsi="Arial"/>
          <w:b/>
          <w:bCs/>
          <w:sz w:val="20"/>
        </w:rPr>
        <w:t>Druh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>veřejná zakázka</w:t>
      </w:r>
      <w:r>
        <w:rPr>
          <w:rFonts w:ascii="Arial" w:hAnsi="Arial"/>
          <w:iCs/>
          <w:sz w:val="20"/>
        </w:rPr>
        <w:t xml:space="preserve"> na služby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pacing w:line="276" w:lineRule="auto"/>
        <w:ind w:left="3780" w:right="170" w:hanging="3667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Režim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 xml:space="preserve"> veřejná zakázka</w:t>
      </w:r>
      <w:r>
        <w:rPr>
          <w:rFonts w:ascii="Arial" w:hAnsi="Arial"/>
          <w:iCs/>
          <w:sz w:val="20"/>
        </w:rPr>
        <w:t xml:space="preserve"> malého rozsahu</w:t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Evidenční číslo veřejné zakázky v </w:t>
      </w:r>
      <w:proofErr w:type="spellStart"/>
      <w:r>
        <w:rPr>
          <w:rFonts w:ascii="Arial" w:hAnsi="Arial"/>
          <w:b/>
          <w:sz w:val="20"/>
        </w:rPr>
        <w:t>EZAKu</w:t>
      </w:r>
      <w:proofErr w:type="spellEnd"/>
      <w:r>
        <w:rPr>
          <w:rFonts w:ascii="Arial" w:hAnsi="Arial"/>
          <w:b/>
          <w:sz w:val="20"/>
        </w:rPr>
        <w:t>:  P25V00000100</w:t>
      </w:r>
    </w:p>
    <w:p>
      <w:pPr>
        <w:jc w:val="both"/>
        <w:rPr>
          <w:rFonts w:ascii="Arial" w:hAnsi="Arial"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Termín pro podání nabídek: </w:t>
      </w:r>
      <w:r>
        <w:rPr>
          <w:rFonts w:ascii="Arial" w:hAnsi="Arial"/>
          <w:sz w:val="20"/>
        </w:rPr>
        <w:t>4. 9. 2025 12:00 hod.</w:t>
      </w: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Ve stanoveném termínu byly doru</w:t>
      </w:r>
      <w:bookmarkStart w:id="0" w:name="_GoBack"/>
      <w:bookmarkEnd w:id="0"/>
      <w:r>
        <w:rPr>
          <w:rFonts w:ascii="Arial" w:hAnsi="Arial"/>
          <w:b/>
          <w:bCs/>
          <w:sz w:val="20"/>
        </w:rPr>
        <w:t xml:space="preserve">čeny nabídky následujících uchazečů: </w:t>
      </w:r>
    </w:p>
    <w:p>
      <w:pPr>
        <w:rPr>
          <w:rFonts w:ascii="Arial" w:hAnsi="Arial"/>
          <w:b/>
          <w:bCs/>
          <w:sz w:val="20"/>
        </w:rPr>
      </w:pPr>
    </w:p>
    <w:p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2022"/>
        <w:gridCol w:w="2977"/>
      </w:tblGrid>
      <w:tr>
        <w:tc>
          <w:tcPr>
            <w:tcW w:w="0" w:type="auto"/>
          </w:tcPr>
          <w:p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1.</w:t>
            </w:r>
          </w:p>
        </w:tc>
        <w:tc>
          <w:tcPr>
            <w:tcW w:w="2022" w:type="dxa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1</w:t>
            </w:r>
          </w:p>
        </w:tc>
        <w:tc>
          <w:tcPr>
            <w:tcW w:w="2977" w:type="dxa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3 025,00 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 w:line="276" w:lineRule="auto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 Němcová</cp:lastModifiedBy>
  <cp:revision>3</cp:revision>
  <cp:lastPrinted>2023-04-27T10:14:00Z</cp:lastPrinted>
  <dcterms:created xsi:type="dcterms:W3CDTF">2025-09-08T08:35:00Z</dcterms:created>
  <dcterms:modified xsi:type="dcterms:W3CDTF">2025-09-08T08:45:00Z</dcterms:modified>
</cp:coreProperties>
</file>