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Vyhotovení STP souboru domů Konečného náměstí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na služby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i/>
          <w:sz w:val="20"/>
        </w:rPr>
        <w:t>veřejná zakázka</w:t>
      </w:r>
      <w:r>
        <w:rPr>
          <w:rFonts w:ascii="Arial" w:hAnsi="Arial"/>
          <w:i/>
          <w:iCs/>
          <w:sz w:val="20"/>
        </w:rPr>
        <w:t xml:space="preserve"> malého rozsahu</w:t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P26V00000047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14. 4. 2026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9"/>
        <w:gridCol w:w="3192"/>
      </w:tblGrid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3192" w:type="dxa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2 359 500,00 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0"/>
                <w:szCs w:val="20"/>
              </w:rPr>
              <w:t>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24</cp:revision>
  <cp:lastPrinted>2023-04-27T10:14:00Z</cp:lastPrinted>
  <dcterms:created xsi:type="dcterms:W3CDTF">2022-08-30T06:10:00Z</dcterms:created>
  <dcterms:modified xsi:type="dcterms:W3CDTF">2026-04-14T10:08:00Z</dcterms:modified>
</cp:coreProperties>
</file>