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40718D" w:rsidRDefault="0040718D" w:rsidP="00156BD7">
      <w:pPr>
        <w:jc w:val="center"/>
        <w:rPr>
          <w:rFonts w:ascii="Gulim" w:eastAsia="Gulim" w:hAnsi="Gulim" w:cs="Arial"/>
          <w:b/>
          <w:sz w:val="36"/>
          <w:szCs w:val="36"/>
        </w:rPr>
      </w:pPr>
    </w:p>
    <w:sdt>
      <w:sdtPr>
        <w:rPr>
          <w:rFonts w:ascii="Gulim" w:eastAsia="Gulim" w:hAnsi="Gulim" w:cs="Arial"/>
          <w:b/>
          <w:sz w:val="36"/>
          <w:szCs w:val="36"/>
        </w:rPr>
        <w:id w:val="-670092664"/>
        <w:docPartObj>
          <w:docPartGallery w:val="Cover Pages"/>
          <w:docPartUnique/>
        </w:docPartObj>
      </w:sdtPr>
      <w:sdtEndPr>
        <w:rPr>
          <w:rFonts w:asciiTheme="majorHAnsi" w:hAnsiTheme="majorHAnsi" w:cstheme="majorHAnsi"/>
          <w:b w:val="0"/>
          <w:sz w:val="22"/>
          <w:szCs w:val="22"/>
        </w:rPr>
      </w:sdtEndPr>
      <w:sdtContent>
        <w:p w:rsidR="00156BD7" w:rsidRPr="00AE0F32" w:rsidRDefault="00156BD7" w:rsidP="00156BD7">
          <w:pPr>
            <w:jc w:val="center"/>
            <w:rPr>
              <w:rFonts w:asciiTheme="majorHAnsi" w:eastAsia="Gulim" w:hAnsiTheme="majorHAnsi" w:cstheme="majorHAnsi"/>
              <w:b/>
              <w:sz w:val="36"/>
              <w:szCs w:val="36"/>
            </w:rPr>
          </w:pPr>
          <w:r w:rsidRPr="00AE0F32">
            <w:rPr>
              <w:rFonts w:asciiTheme="majorHAnsi" w:eastAsia="Gulim" w:hAnsiTheme="majorHAnsi" w:cstheme="majorHAnsi"/>
              <w:b/>
              <w:sz w:val="36"/>
              <w:szCs w:val="36"/>
            </w:rPr>
            <w:t xml:space="preserve">MŠ BRNO, </w:t>
          </w:r>
          <w:r w:rsidR="00557A5D">
            <w:rPr>
              <w:rFonts w:asciiTheme="majorHAnsi" w:eastAsia="Gulim" w:hAnsiTheme="majorHAnsi" w:cstheme="majorHAnsi"/>
              <w:b/>
              <w:sz w:val="36"/>
              <w:szCs w:val="36"/>
            </w:rPr>
            <w:t>NÁDVORNÍ 3</w:t>
          </w:r>
          <w:r w:rsidRPr="00AE0F32">
            <w:rPr>
              <w:rFonts w:asciiTheme="majorHAnsi" w:eastAsia="Gulim" w:hAnsiTheme="majorHAnsi" w:cstheme="majorHAnsi"/>
              <w:b/>
              <w:sz w:val="36"/>
              <w:szCs w:val="36"/>
            </w:rPr>
            <w:t xml:space="preserve">, p. o. - REKONSTRUKCE ŠKOLNÍ ZAHRADY – </w:t>
          </w:r>
          <w:r w:rsidR="00557A5D">
            <w:rPr>
              <w:rFonts w:asciiTheme="majorHAnsi" w:eastAsia="Gulim" w:hAnsiTheme="majorHAnsi" w:cstheme="majorHAnsi"/>
              <w:b/>
              <w:sz w:val="36"/>
              <w:szCs w:val="36"/>
            </w:rPr>
            <w:t>KRÁLOVSTVÍ CHOBOTNICE</w:t>
          </w:r>
        </w:p>
        <w:p w:rsidR="00156BD7" w:rsidRPr="00156BD7" w:rsidRDefault="00156BD7" w:rsidP="0019613D">
          <w:pPr>
            <w:jc w:val="center"/>
            <w:rPr>
              <w:rFonts w:asciiTheme="majorHAnsi" w:eastAsia="Gulim" w:hAnsiTheme="majorHAnsi" w:cstheme="majorHAnsi"/>
              <w:sz w:val="24"/>
              <w:szCs w:val="24"/>
            </w:rPr>
          </w:pPr>
          <w:r w:rsidRPr="00156BD7">
            <w:rPr>
              <w:rFonts w:asciiTheme="majorHAnsi" w:eastAsia="Gulim" w:hAnsiTheme="majorHAnsi" w:cstheme="majorHAnsi"/>
              <w:sz w:val="24"/>
              <w:szCs w:val="24"/>
            </w:rPr>
            <w:t>Dokumentace pro územní souhlas</w:t>
          </w:r>
        </w:p>
        <w:p w:rsidR="00156BD7" w:rsidRPr="0019613D" w:rsidRDefault="00156BD7" w:rsidP="0019613D">
          <w:pPr>
            <w:jc w:val="center"/>
            <w:rPr>
              <w:rFonts w:ascii="Gulim" w:eastAsia="Gulim" w:hAnsi="Gulim" w:cs="Arial"/>
              <w:sz w:val="24"/>
              <w:szCs w:val="24"/>
            </w:rPr>
          </w:pPr>
        </w:p>
        <w:p w:rsidR="00156BD7" w:rsidRDefault="00156BD7" w:rsidP="00745D2C">
          <w:pPr>
            <w:jc w:val="center"/>
            <w:rPr>
              <w:rFonts w:ascii="Gulim" w:eastAsia="Gulim" w:hAnsi="Gulim" w:cs="Arial"/>
              <w:b/>
              <w:sz w:val="36"/>
              <w:szCs w:val="36"/>
            </w:rPr>
          </w:pPr>
        </w:p>
        <w:p w:rsidR="00A17A48" w:rsidRDefault="00156BD7" w:rsidP="00156BD7">
          <w:pPr>
            <w:pStyle w:val="Odstavecseseznamem"/>
            <w:numPr>
              <w:ilvl w:val="0"/>
              <w:numId w:val="11"/>
            </w:numPr>
            <w:jc w:val="center"/>
            <w:rPr>
              <w:rFonts w:asciiTheme="majorHAnsi" w:eastAsia="Gulim" w:hAnsiTheme="majorHAnsi" w:cstheme="majorHAnsi"/>
              <w:b/>
              <w:sz w:val="36"/>
              <w:szCs w:val="36"/>
            </w:rPr>
          </w:pPr>
          <w:r w:rsidRPr="00156BD7">
            <w:rPr>
              <w:rFonts w:asciiTheme="majorHAnsi" w:eastAsia="Gulim" w:hAnsiTheme="majorHAnsi" w:cstheme="majorHAnsi"/>
              <w:b/>
              <w:sz w:val="36"/>
              <w:szCs w:val="36"/>
            </w:rPr>
            <w:t>PRŮVODNÍ ZPRÁVA</w:t>
          </w:r>
        </w:p>
        <w:p w:rsidR="00A17A48" w:rsidRDefault="00A17A48" w:rsidP="00A17A48">
          <w:pPr>
            <w:pStyle w:val="Odstavecseseznamem"/>
            <w:ind w:left="1080"/>
            <w:rPr>
              <w:rFonts w:asciiTheme="majorHAnsi" w:eastAsia="Gulim" w:hAnsiTheme="majorHAnsi" w:cstheme="majorHAnsi"/>
              <w:b/>
              <w:sz w:val="36"/>
              <w:szCs w:val="36"/>
            </w:rPr>
          </w:pPr>
        </w:p>
        <w:p w:rsidR="00A17A48" w:rsidRDefault="00A17A48" w:rsidP="00A17A48">
          <w:pPr>
            <w:pStyle w:val="Odstavecseseznamem"/>
            <w:ind w:left="1080"/>
            <w:rPr>
              <w:rFonts w:asciiTheme="majorHAnsi" w:eastAsia="Gulim" w:hAnsiTheme="majorHAnsi" w:cstheme="majorHAnsi"/>
              <w:b/>
              <w:sz w:val="36"/>
              <w:szCs w:val="36"/>
            </w:rPr>
          </w:pPr>
        </w:p>
        <w:p w:rsidR="00156BD7" w:rsidRPr="00156BD7" w:rsidRDefault="00156BD7" w:rsidP="00A17A48">
          <w:pPr>
            <w:pStyle w:val="Odstavecseseznamem"/>
            <w:ind w:left="1080"/>
            <w:rPr>
              <w:rFonts w:asciiTheme="majorHAnsi" w:eastAsia="Gulim" w:hAnsiTheme="majorHAnsi" w:cstheme="majorHAnsi"/>
              <w:b/>
              <w:sz w:val="36"/>
              <w:szCs w:val="36"/>
            </w:rPr>
          </w:pPr>
        </w:p>
        <w:p w:rsidR="00156BD7" w:rsidRPr="0019613D" w:rsidRDefault="00156BD7" w:rsidP="00A17A48">
          <w:pPr>
            <w:rPr>
              <w:rFonts w:ascii="Gulim" w:eastAsia="Gulim" w:hAnsi="Gulim" w:cs="Arial"/>
              <w:b/>
              <w:sz w:val="36"/>
              <w:szCs w:val="36"/>
            </w:rPr>
          </w:pPr>
        </w:p>
        <w:p w:rsidR="00156BD7" w:rsidRPr="0019613D" w:rsidRDefault="00A17A48" w:rsidP="00745D2C">
          <w:pPr>
            <w:jc w:val="center"/>
            <w:rPr>
              <w:rFonts w:ascii="Gulim" w:eastAsia="Gulim" w:hAnsi="Gulim" w:cs="Arial"/>
              <w:b/>
              <w:sz w:val="36"/>
              <w:szCs w:val="36"/>
            </w:rPr>
          </w:pPr>
          <w:r>
            <w:rPr>
              <w:rFonts w:ascii="Gulim" w:eastAsia="Gulim" w:hAnsi="Gulim" w:cs="Arial"/>
              <w:b/>
              <w:noProof/>
              <w:sz w:val="36"/>
              <w:szCs w:val="36"/>
              <w:lang w:eastAsia="cs-CZ"/>
            </w:rPr>
            <w:drawing>
              <wp:inline distT="0" distB="0" distL="0" distR="0">
                <wp:extent cx="5796915" cy="3931920"/>
                <wp:effectExtent l="0" t="0" r="0" b="0"/>
                <wp:docPr id="1" name="Obráze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navrh1.jpg"/>
                        <pic:cNvPicPr/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96915" cy="393192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ffectLst>
                          <a:softEdge rad="112500"/>
                        </a:effectLst>
                      </pic:spPr>
                    </pic:pic>
                  </a:graphicData>
                </a:graphic>
              </wp:inline>
            </w:drawing>
          </w:r>
        </w:p>
        <w:p w:rsidR="00156BD7" w:rsidRPr="0019613D" w:rsidRDefault="00156BD7" w:rsidP="00745D2C">
          <w:pPr>
            <w:jc w:val="center"/>
            <w:rPr>
              <w:rFonts w:ascii="Gulim" w:eastAsia="Gulim" w:hAnsi="Gulim" w:cs="Arial"/>
              <w:b/>
              <w:sz w:val="36"/>
              <w:szCs w:val="36"/>
            </w:rPr>
          </w:pPr>
        </w:p>
        <w:p w:rsidR="00156BD7" w:rsidRPr="0019613D" w:rsidRDefault="00156BD7" w:rsidP="002769D8">
          <w:pPr>
            <w:rPr>
              <w:rFonts w:ascii="Gulim" w:eastAsia="Gulim" w:hAnsi="Gulim" w:cs="Arial"/>
              <w:b/>
              <w:sz w:val="36"/>
              <w:szCs w:val="36"/>
            </w:rPr>
          </w:pPr>
        </w:p>
        <w:p w:rsidR="00156BD7" w:rsidRPr="0019613D" w:rsidRDefault="00156BD7" w:rsidP="00B84F37">
          <w:pPr>
            <w:jc w:val="center"/>
            <w:rPr>
              <w:rFonts w:ascii="Gulim" w:eastAsia="Gulim" w:hAnsi="Gulim" w:cs="Arial"/>
              <w:b/>
              <w:sz w:val="36"/>
              <w:szCs w:val="36"/>
            </w:rPr>
          </w:pPr>
          <w:bookmarkStart w:id="0" w:name="_GoBack"/>
          <w:bookmarkEnd w:id="0"/>
        </w:p>
        <w:p w:rsidR="00156BD7" w:rsidRPr="0019613D" w:rsidRDefault="00156BD7" w:rsidP="00B84F37">
          <w:pPr>
            <w:jc w:val="right"/>
            <w:rPr>
              <w:rFonts w:ascii="Gulim" w:eastAsia="Gulim" w:hAnsi="Gulim" w:cs="Arial"/>
              <w:sz w:val="24"/>
              <w:szCs w:val="24"/>
            </w:rPr>
          </w:pPr>
        </w:p>
        <w:p w:rsidR="00156BD7" w:rsidRPr="00A17A48" w:rsidRDefault="00156BD7" w:rsidP="00A17A48">
          <w:pPr>
            <w:jc w:val="right"/>
            <w:rPr>
              <w:rFonts w:ascii="Gulim" w:eastAsia="Gulim" w:hAnsi="Gulim" w:cs="Arial"/>
              <w:sz w:val="24"/>
              <w:szCs w:val="24"/>
            </w:rPr>
          </w:pPr>
          <w:r w:rsidRPr="0019613D">
            <w:rPr>
              <w:rFonts w:ascii="Gulim" w:eastAsia="Gulim" w:hAnsi="Gulim" w:cs="Arial"/>
              <w:sz w:val="24"/>
              <w:szCs w:val="24"/>
            </w:rPr>
            <w:t xml:space="preserve">VYPRACOVALA: Ing. Jitka Vágnerová, </w:t>
          </w:r>
          <w:r>
            <w:rPr>
              <w:rFonts w:ascii="Gulim" w:eastAsia="Gulim" w:hAnsi="Gulim" w:cs="Arial"/>
              <w:sz w:val="24"/>
              <w:szCs w:val="24"/>
            </w:rPr>
            <w:t>prosinec 2016</w:t>
          </w:r>
        </w:p>
      </w:sdtContent>
    </w:sdt>
    <w:p w:rsidR="00AE0F32" w:rsidRDefault="00AE0F32" w:rsidP="00A17A48">
      <w:pPr>
        <w:rPr>
          <w:rFonts w:asciiTheme="majorHAnsi" w:eastAsia="Gulim" w:hAnsiTheme="majorHAnsi" w:cstheme="majorHAnsi"/>
          <w:b/>
          <w:sz w:val="36"/>
          <w:szCs w:val="36"/>
        </w:rPr>
      </w:pPr>
    </w:p>
    <w:p w:rsidR="00260E72" w:rsidRPr="00AE0F32" w:rsidRDefault="00260E72" w:rsidP="00B84F37">
      <w:pPr>
        <w:jc w:val="right"/>
        <w:rPr>
          <w:rFonts w:asciiTheme="majorHAnsi" w:eastAsia="Gulim" w:hAnsiTheme="majorHAnsi" w:cstheme="majorHAnsi"/>
          <w:sz w:val="24"/>
          <w:szCs w:val="24"/>
        </w:rPr>
      </w:pPr>
    </w:p>
    <w:p w:rsidR="00260E72" w:rsidRPr="00AE0F32" w:rsidRDefault="00260E72" w:rsidP="00B84F37">
      <w:pPr>
        <w:jc w:val="right"/>
        <w:rPr>
          <w:rFonts w:asciiTheme="majorHAnsi" w:eastAsia="Gulim" w:hAnsiTheme="majorHAnsi" w:cstheme="majorHAnsi"/>
          <w:sz w:val="24"/>
          <w:szCs w:val="24"/>
        </w:rPr>
      </w:pPr>
    </w:p>
    <w:p w:rsidR="00B84F37" w:rsidRPr="00AE0F32" w:rsidRDefault="00B84F37" w:rsidP="00B84F37">
      <w:pPr>
        <w:jc w:val="right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OBSAH:</w:t>
      </w:r>
    </w:p>
    <w:p w:rsidR="00B84F37" w:rsidRPr="00AE0F32" w:rsidRDefault="00B84F37" w:rsidP="00B84F37">
      <w:pPr>
        <w:jc w:val="right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B84F37">
      <w:pPr>
        <w:pStyle w:val="Odstavecseseznamem"/>
        <w:numPr>
          <w:ilvl w:val="0"/>
          <w:numId w:val="7"/>
        </w:numPr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Identifikační údaje</w:t>
      </w:r>
      <w:r w:rsidR="00D50EAE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D50EAE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D50EAE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D50EAE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D50EAE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D50EAE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D50EAE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D50EAE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D50EAE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606784">
        <w:rPr>
          <w:rFonts w:asciiTheme="majorHAnsi" w:eastAsia="Gulim" w:hAnsiTheme="majorHAnsi" w:cstheme="majorHAnsi"/>
          <w:sz w:val="22"/>
          <w:szCs w:val="22"/>
        </w:rPr>
        <w:t>2</w:t>
      </w:r>
    </w:p>
    <w:p w:rsidR="00B84F37" w:rsidRPr="00AE0F32" w:rsidRDefault="00B84F37" w:rsidP="00B84F37">
      <w:pPr>
        <w:pStyle w:val="Odstavecseseznamem"/>
        <w:numPr>
          <w:ilvl w:val="0"/>
          <w:numId w:val="7"/>
        </w:numPr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Seznam vstupních podkladů</w:t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83242D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606784">
        <w:rPr>
          <w:rFonts w:asciiTheme="majorHAnsi" w:eastAsia="Gulim" w:hAnsiTheme="majorHAnsi" w:cstheme="majorHAnsi"/>
          <w:sz w:val="22"/>
          <w:szCs w:val="22"/>
        </w:rPr>
        <w:t>2</w:t>
      </w:r>
    </w:p>
    <w:p w:rsidR="00B84F37" w:rsidRPr="00AE0F32" w:rsidRDefault="00B84F37" w:rsidP="00B84F37">
      <w:pPr>
        <w:pStyle w:val="Odstavecseseznamem"/>
        <w:numPr>
          <w:ilvl w:val="0"/>
          <w:numId w:val="7"/>
        </w:numPr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Údaje o území</w:t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156BD7">
        <w:rPr>
          <w:rFonts w:asciiTheme="majorHAnsi" w:eastAsia="Gulim" w:hAnsiTheme="majorHAnsi" w:cstheme="majorHAnsi"/>
          <w:sz w:val="22"/>
          <w:szCs w:val="22"/>
        </w:rPr>
        <w:tab/>
      </w:r>
      <w:r w:rsidR="00606784">
        <w:rPr>
          <w:rFonts w:asciiTheme="majorHAnsi" w:eastAsia="Gulim" w:hAnsiTheme="majorHAnsi" w:cstheme="majorHAnsi"/>
          <w:sz w:val="22"/>
          <w:szCs w:val="22"/>
        </w:rPr>
        <w:t>2</w:t>
      </w:r>
    </w:p>
    <w:p w:rsidR="00B84F37" w:rsidRPr="00AE0F32" w:rsidRDefault="00B84F37" w:rsidP="00B84F37">
      <w:pPr>
        <w:pStyle w:val="Odstavecseseznamem"/>
        <w:numPr>
          <w:ilvl w:val="0"/>
          <w:numId w:val="7"/>
        </w:numPr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Údaje o stavbě</w:t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156BD7">
        <w:rPr>
          <w:rFonts w:asciiTheme="majorHAnsi" w:eastAsia="Gulim" w:hAnsiTheme="majorHAnsi" w:cstheme="majorHAnsi"/>
          <w:sz w:val="22"/>
          <w:szCs w:val="22"/>
        </w:rPr>
        <w:tab/>
      </w:r>
      <w:r w:rsidR="00606784">
        <w:rPr>
          <w:rFonts w:asciiTheme="majorHAnsi" w:eastAsia="Gulim" w:hAnsiTheme="majorHAnsi" w:cstheme="majorHAnsi"/>
          <w:sz w:val="22"/>
          <w:szCs w:val="22"/>
        </w:rPr>
        <w:t>3</w:t>
      </w:r>
    </w:p>
    <w:p w:rsidR="00B84F37" w:rsidRPr="00AE0F32" w:rsidRDefault="00B84F37" w:rsidP="00B84F37">
      <w:pPr>
        <w:pStyle w:val="Odstavecseseznamem"/>
        <w:numPr>
          <w:ilvl w:val="0"/>
          <w:numId w:val="7"/>
        </w:numPr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Členění stavby na stavební objekty</w:t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83242D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271166" w:rsidRPr="00AE0F32">
        <w:rPr>
          <w:rFonts w:asciiTheme="majorHAnsi" w:eastAsia="Gulim" w:hAnsiTheme="majorHAnsi" w:cstheme="majorHAnsi"/>
          <w:sz w:val="22"/>
          <w:szCs w:val="22"/>
        </w:rPr>
        <w:tab/>
      </w:r>
      <w:r w:rsidR="00606784">
        <w:rPr>
          <w:rFonts w:asciiTheme="majorHAnsi" w:eastAsia="Gulim" w:hAnsiTheme="majorHAnsi" w:cstheme="majorHAnsi"/>
          <w:sz w:val="22"/>
          <w:szCs w:val="22"/>
        </w:rPr>
        <w:t>3</w:t>
      </w:r>
    </w:p>
    <w:p w:rsidR="00B84F37" w:rsidRPr="00AE0F32" w:rsidRDefault="00B84F37" w:rsidP="00B84F37">
      <w:pPr>
        <w:pStyle w:val="Odstavecseseznamem"/>
        <w:jc w:val="center"/>
        <w:rPr>
          <w:rFonts w:asciiTheme="majorHAnsi" w:eastAsia="Gulim" w:hAnsiTheme="majorHAnsi" w:cstheme="majorHAnsi"/>
          <w:sz w:val="22"/>
          <w:szCs w:val="22"/>
        </w:rPr>
      </w:pPr>
    </w:p>
    <w:p w:rsidR="00043FFF" w:rsidRPr="00AE0F32" w:rsidRDefault="00043FFF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7445E5" w:rsidRPr="00AE0F32" w:rsidRDefault="007445E5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83242D" w:rsidRDefault="0083242D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606784" w:rsidRDefault="00606784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606784" w:rsidRDefault="00606784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606784" w:rsidRDefault="00606784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606784" w:rsidRDefault="00606784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606784" w:rsidRDefault="00606784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606784" w:rsidRDefault="00606784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606784" w:rsidRDefault="00606784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606784" w:rsidRDefault="00606784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A17A48" w:rsidRDefault="00A17A48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606784" w:rsidRPr="00AE0F32" w:rsidRDefault="00606784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83242D" w:rsidRPr="00AE0F32" w:rsidRDefault="0083242D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83242D" w:rsidRPr="00AE0F32" w:rsidRDefault="0083242D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19157F">
      <w:pPr>
        <w:spacing w:line="288" w:lineRule="auto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915086" w:rsidP="00B84F37">
      <w:pPr>
        <w:spacing w:line="288" w:lineRule="auto"/>
        <w:jc w:val="right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lastRenderedPageBreak/>
        <w:t xml:space="preserve">1 </w:t>
      </w:r>
      <w:r w:rsidR="00B84F37" w:rsidRPr="00AE0F32">
        <w:rPr>
          <w:rFonts w:asciiTheme="majorHAnsi" w:eastAsia="Gulim" w:hAnsiTheme="majorHAnsi" w:cstheme="majorHAnsi"/>
          <w:sz w:val="22"/>
          <w:szCs w:val="22"/>
        </w:rPr>
        <w:t>IDENTIFIKAČNÍ ÚDAJE:</w:t>
      </w:r>
    </w:p>
    <w:p w:rsidR="00B84F37" w:rsidRPr="00AE0F32" w:rsidRDefault="00B84F37" w:rsidP="00B84F37">
      <w:pPr>
        <w:spacing w:line="288" w:lineRule="auto"/>
        <w:jc w:val="right"/>
        <w:rPr>
          <w:rFonts w:asciiTheme="majorHAnsi" w:eastAsia="Gulim" w:hAnsiTheme="majorHAnsi" w:cstheme="majorHAnsi"/>
          <w:sz w:val="22"/>
          <w:szCs w:val="22"/>
        </w:rPr>
      </w:pPr>
    </w:p>
    <w:p w:rsidR="00915086" w:rsidRPr="00AE0F32" w:rsidRDefault="00915086" w:rsidP="00D719DC">
      <w:pPr>
        <w:spacing w:line="288" w:lineRule="auto"/>
        <w:jc w:val="both"/>
        <w:rPr>
          <w:rFonts w:asciiTheme="majorHAnsi" w:eastAsia="Gulim" w:hAnsiTheme="majorHAnsi" w:cstheme="majorHAnsi"/>
          <w:b/>
          <w:sz w:val="22"/>
          <w:szCs w:val="22"/>
          <w:u w:val="single"/>
        </w:rPr>
      </w:pPr>
      <w:r w:rsidRPr="00AE0F32">
        <w:rPr>
          <w:rFonts w:asciiTheme="majorHAnsi" w:eastAsia="Gulim" w:hAnsiTheme="majorHAnsi" w:cstheme="majorHAnsi"/>
          <w:b/>
          <w:sz w:val="22"/>
          <w:szCs w:val="22"/>
          <w:u w:val="single"/>
        </w:rPr>
        <w:t>1.1 Údaje o stavbě:</w:t>
      </w:r>
    </w:p>
    <w:p w:rsidR="00260E72" w:rsidRPr="00AE0F32" w:rsidRDefault="00915086" w:rsidP="00915086">
      <w:pPr>
        <w:pStyle w:val="Odstavecseseznamem"/>
        <w:spacing w:line="288" w:lineRule="auto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b/>
          <w:sz w:val="22"/>
          <w:szCs w:val="22"/>
        </w:rPr>
        <w:t>Název stavby:</w:t>
      </w:r>
      <w:r w:rsidRPr="00AE0F32">
        <w:rPr>
          <w:rFonts w:asciiTheme="majorHAnsi" w:eastAsia="Gulim" w:hAnsiTheme="majorHAnsi" w:cstheme="majorHAnsi"/>
          <w:sz w:val="22"/>
          <w:szCs w:val="22"/>
        </w:rPr>
        <w:t xml:space="preserve"> </w:t>
      </w:r>
      <w:r w:rsidR="00260E72" w:rsidRPr="00AE0F32">
        <w:rPr>
          <w:rFonts w:asciiTheme="majorHAnsi" w:eastAsia="Gulim" w:hAnsiTheme="majorHAnsi" w:cstheme="majorHAnsi"/>
          <w:sz w:val="22"/>
          <w:szCs w:val="22"/>
        </w:rPr>
        <w:t xml:space="preserve">MŠ Brno, </w:t>
      </w:r>
      <w:r w:rsidR="00B02817">
        <w:rPr>
          <w:rFonts w:asciiTheme="majorHAnsi" w:eastAsia="Gulim" w:hAnsiTheme="majorHAnsi" w:cstheme="majorHAnsi"/>
          <w:sz w:val="22"/>
          <w:szCs w:val="22"/>
        </w:rPr>
        <w:t>Nádvorní</w:t>
      </w:r>
      <w:r w:rsidR="00260E72" w:rsidRPr="00AE0F32">
        <w:rPr>
          <w:rFonts w:asciiTheme="majorHAnsi" w:eastAsia="Gulim" w:hAnsiTheme="majorHAnsi" w:cstheme="majorHAnsi"/>
          <w:sz w:val="22"/>
          <w:szCs w:val="22"/>
        </w:rPr>
        <w:t xml:space="preserve"> </w:t>
      </w:r>
      <w:r w:rsidR="00A17A48">
        <w:rPr>
          <w:rFonts w:asciiTheme="majorHAnsi" w:eastAsia="Gulim" w:hAnsiTheme="majorHAnsi" w:cstheme="majorHAnsi"/>
          <w:sz w:val="22"/>
          <w:szCs w:val="22"/>
        </w:rPr>
        <w:t>3</w:t>
      </w:r>
      <w:r w:rsidR="00260E72" w:rsidRPr="00AE0F32">
        <w:rPr>
          <w:rFonts w:asciiTheme="majorHAnsi" w:eastAsia="Gulim" w:hAnsiTheme="majorHAnsi" w:cstheme="majorHAnsi"/>
          <w:sz w:val="22"/>
          <w:szCs w:val="22"/>
        </w:rPr>
        <w:t xml:space="preserve">, p. o. – rekonstrukce školní zahrady </w:t>
      </w:r>
    </w:p>
    <w:p w:rsidR="00915086" w:rsidRPr="00AE0F32" w:rsidRDefault="00915086" w:rsidP="00915086">
      <w:pPr>
        <w:pStyle w:val="Odstavecseseznamem"/>
        <w:spacing w:line="288" w:lineRule="auto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b/>
          <w:sz w:val="22"/>
          <w:szCs w:val="22"/>
        </w:rPr>
        <w:t>Místo stavby:</w:t>
      </w:r>
      <w:r w:rsidRPr="00AE0F32">
        <w:rPr>
          <w:rFonts w:asciiTheme="majorHAnsi" w:eastAsia="Gulim" w:hAnsiTheme="majorHAnsi" w:cstheme="majorHAnsi"/>
          <w:sz w:val="22"/>
          <w:szCs w:val="22"/>
        </w:rPr>
        <w:t xml:space="preserve"> </w:t>
      </w:r>
      <w:r w:rsidR="00B359AA">
        <w:rPr>
          <w:rFonts w:asciiTheme="majorHAnsi" w:eastAsia="Gulim" w:hAnsiTheme="majorHAnsi" w:cstheme="majorHAnsi"/>
          <w:sz w:val="22"/>
          <w:szCs w:val="22"/>
        </w:rPr>
        <w:t>Nádvorní 3/704, 603</w:t>
      </w:r>
      <w:r w:rsidR="00260E72" w:rsidRPr="00AE0F32">
        <w:rPr>
          <w:rFonts w:asciiTheme="majorHAnsi" w:eastAsia="Gulim" w:hAnsiTheme="majorHAnsi" w:cstheme="majorHAnsi"/>
          <w:sz w:val="22"/>
          <w:szCs w:val="22"/>
        </w:rPr>
        <w:t xml:space="preserve"> 00, </w:t>
      </w:r>
      <w:r w:rsidR="00E871F6" w:rsidRPr="00AE0F32">
        <w:rPr>
          <w:rFonts w:asciiTheme="majorHAnsi" w:eastAsia="Gulim" w:hAnsiTheme="majorHAnsi" w:cstheme="majorHAnsi"/>
          <w:sz w:val="22"/>
          <w:szCs w:val="22"/>
        </w:rPr>
        <w:t xml:space="preserve">Brno, Jihomoravský kraj, KÚ: </w:t>
      </w:r>
      <w:r w:rsidR="00A17A48">
        <w:rPr>
          <w:rFonts w:asciiTheme="majorHAnsi" w:eastAsia="Gulim" w:hAnsiTheme="majorHAnsi" w:cstheme="majorHAnsi"/>
          <w:sz w:val="22"/>
          <w:szCs w:val="22"/>
        </w:rPr>
        <w:t>610089</w:t>
      </w:r>
      <w:r w:rsidR="00E871F6" w:rsidRPr="00AE0F32">
        <w:rPr>
          <w:rFonts w:asciiTheme="majorHAnsi" w:eastAsia="Gulim" w:hAnsiTheme="majorHAnsi" w:cstheme="majorHAnsi"/>
          <w:sz w:val="22"/>
          <w:szCs w:val="22"/>
        </w:rPr>
        <w:t xml:space="preserve"> </w:t>
      </w:r>
      <w:r w:rsidR="00A17A48">
        <w:rPr>
          <w:rFonts w:asciiTheme="majorHAnsi" w:eastAsia="Gulim" w:hAnsiTheme="majorHAnsi" w:cstheme="majorHAnsi"/>
          <w:sz w:val="22"/>
          <w:szCs w:val="22"/>
        </w:rPr>
        <w:t>Staré Brno (okres Brno-město), parc. číslo</w:t>
      </w:r>
      <w:r w:rsidR="00E871F6" w:rsidRPr="00AE0F32">
        <w:rPr>
          <w:rFonts w:asciiTheme="majorHAnsi" w:eastAsia="Gulim" w:hAnsiTheme="majorHAnsi" w:cstheme="majorHAnsi"/>
          <w:sz w:val="22"/>
          <w:szCs w:val="22"/>
        </w:rPr>
        <w:t xml:space="preserve"> </w:t>
      </w:r>
      <w:r w:rsidR="00A17A48">
        <w:rPr>
          <w:rFonts w:asciiTheme="majorHAnsi" w:eastAsia="Gulim" w:hAnsiTheme="majorHAnsi" w:cstheme="majorHAnsi"/>
          <w:sz w:val="22"/>
          <w:szCs w:val="22"/>
        </w:rPr>
        <w:t>1620</w:t>
      </w:r>
      <w:r w:rsidR="00542F8C" w:rsidRPr="00AE0F32">
        <w:rPr>
          <w:rFonts w:asciiTheme="majorHAnsi" w:eastAsia="Gulim" w:hAnsiTheme="majorHAnsi" w:cstheme="majorHAnsi"/>
          <w:sz w:val="22"/>
          <w:szCs w:val="22"/>
        </w:rPr>
        <w:t xml:space="preserve"> </w:t>
      </w:r>
    </w:p>
    <w:p w:rsidR="00E871F6" w:rsidRPr="00AE0F32" w:rsidRDefault="00E871F6" w:rsidP="001E03C9">
      <w:pPr>
        <w:pStyle w:val="Odstavecseseznamem"/>
        <w:spacing w:line="288" w:lineRule="auto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b/>
          <w:sz w:val="22"/>
          <w:szCs w:val="22"/>
        </w:rPr>
        <w:t>Předmět dokumentace:</w:t>
      </w:r>
      <w:r w:rsidRPr="00AE0F32">
        <w:rPr>
          <w:rFonts w:asciiTheme="majorHAnsi" w:eastAsia="Gulim" w:hAnsiTheme="majorHAnsi" w:cstheme="majorHAnsi"/>
          <w:sz w:val="22"/>
          <w:szCs w:val="22"/>
        </w:rPr>
        <w:t xml:space="preserve"> Úprava s</w:t>
      </w:r>
      <w:r w:rsidR="00542F8C" w:rsidRPr="00AE0F32">
        <w:rPr>
          <w:rFonts w:asciiTheme="majorHAnsi" w:eastAsia="Gulim" w:hAnsiTheme="majorHAnsi" w:cstheme="majorHAnsi"/>
          <w:sz w:val="22"/>
          <w:szCs w:val="22"/>
        </w:rPr>
        <w:t>távající zahrady mateřské školy, doplnění herních prvků</w:t>
      </w:r>
      <w:r w:rsidR="00A17A48">
        <w:rPr>
          <w:rFonts w:asciiTheme="majorHAnsi" w:eastAsia="Gulim" w:hAnsiTheme="majorHAnsi" w:cstheme="majorHAnsi"/>
          <w:sz w:val="22"/>
          <w:szCs w:val="22"/>
        </w:rPr>
        <w:t xml:space="preserve"> stavba školn</w:t>
      </w:r>
      <w:r w:rsidR="00B359AA">
        <w:rPr>
          <w:rFonts w:asciiTheme="majorHAnsi" w:eastAsia="Gulim" w:hAnsiTheme="majorHAnsi" w:cstheme="majorHAnsi"/>
          <w:sz w:val="22"/>
          <w:szCs w:val="22"/>
        </w:rPr>
        <w:t>ího altánu</w:t>
      </w:r>
    </w:p>
    <w:p w:rsidR="001E03C9" w:rsidRPr="00AE0F32" w:rsidRDefault="001E03C9" w:rsidP="001E03C9">
      <w:pPr>
        <w:spacing w:line="288" w:lineRule="auto"/>
        <w:jc w:val="both"/>
        <w:rPr>
          <w:rFonts w:asciiTheme="majorHAnsi" w:eastAsia="Gulim" w:hAnsiTheme="majorHAnsi" w:cstheme="majorHAnsi"/>
          <w:sz w:val="22"/>
          <w:szCs w:val="22"/>
        </w:rPr>
      </w:pPr>
    </w:p>
    <w:p w:rsidR="00E871F6" w:rsidRPr="00AE0F32" w:rsidRDefault="001E03C9" w:rsidP="00D719DC">
      <w:pPr>
        <w:spacing w:line="288" w:lineRule="auto"/>
        <w:jc w:val="both"/>
        <w:rPr>
          <w:rFonts w:asciiTheme="majorHAnsi" w:eastAsia="Gulim" w:hAnsiTheme="majorHAnsi" w:cstheme="majorHAnsi"/>
          <w:b/>
          <w:sz w:val="22"/>
          <w:szCs w:val="22"/>
          <w:u w:val="single"/>
        </w:rPr>
      </w:pPr>
      <w:r w:rsidRPr="00AE0F32">
        <w:rPr>
          <w:rFonts w:asciiTheme="majorHAnsi" w:eastAsia="Gulim" w:hAnsiTheme="majorHAnsi" w:cstheme="majorHAnsi"/>
          <w:b/>
          <w:sz w:val="22"/>
          <w:szCs w:val="22"/>
          <w:u w:val="single"/>
        </w:rPr>
        <w:t>1.2</w:t>
      </w:r>
      <w:r w:rsidR="00E871F6" w:rsidRPr="00AE0F32">
        <w:rPr>
          <w:rFonts w:asciiTheme="majorHAnsi" w:eastAsia="Gulim" w:hAnsiTheme="majorHAnsi" w:cstheme="majorHAnsi"/>
          <w:b/>
          <w:sz w:val="22"/>
          <w:szCs w:val="22"/>
          <w:u w:val="single"/>
        </w:rPr>
        <w:t xml:space="preserve"> Údaje o investorovi:</w:t>
      </w:r>
    </w:p>
    <w:p w:rsidR="00C958D3" w:rsidRPr="00AE0F32" w:rsidRDefault="00C958D3" w:rsidP="001E03C9">
      <w:pPr>
        <w:spacing w:line="288" w:lineRule="auto"/>
        <w:ind w:firstLine="708"/>
        <w:jc w:val="both"/>
        <w:rPr>
          <w:rFonts w:asciiTheme="majorHAnsi" w:eastAsia="Gulim" w:hAnsiTheme="majorHAnsi" w:cstheme="majorHAnsi"/>
          <w:color w:val="000000"/>
          <w:sz w:val="22"/>
          <w:szCs w:val="22"/>
        </w:rPr>
      </w:pPr>
      <w:r w:rsidRPr="00AE0F32">
        <w:rPr>
          <w:rFonts w:asciiTheme="majorHAnsi" w:eastAsia="Gulim" w:hAnsiTheme="majorHAnsi" w:cstheme="majorHAnsi"/>
          <w:color w:val="000000"/>
          <w:sz w:val="22"/>
          <w:szCs w:val="22"/>
        </w:rPr>
        <w:t xml:space="preserve">Statutární město Brno, Městská část Brno-střed, Dominikánská 2, 601 69 Brno, </w:t>
      </w:r>
    </w:p>
    <w:p w:rsidR="001E03C9" w:rsidRDefault="00C958D3" w:rsidP="001E03C9">
      <w:pPr>
        <w:spacing w:line="288" w:lineRule="auto"/>
        <w:ind w:firstLine="708"/>
        <w:jc w:val="both"/>
        <w:rPr>
          <w:rFonts w:asciiTheme="majorHAnsi" w:eastAsia="Gulim" w:hAnsiTheme="majorHAnsi" w:cstheme="majorHAnsi"/>
          <w:color w:val="000000"/>
          <w:sz w:val="22"/>
          <w:szCs w:val="22"/>
        </w:rPr>
      </w:pPr>
      <w:r w:rsidRPr="00AE0F32">
        <w:rPr>
          <w:rFonts w:asciiTheme="majorHAnsi" w:eastAsia="Gulim" w:hAnsiTheme="majorHAnsi" w:cstheme="majorHAnsi"/>
          <w:color w:val="000000"/>
          <w:sz w:val="22"/>
          <w:szCs w:val="22"/>
        </w:rPr>
        <w:t>IČ 44992785</w:t>
      </w:r>
    </w:p>
    <w:p w:rsidR="00B359AA" w:rsidRPr="00AE0F32" w:rsidRDefault="00B359AA" w:rsidP="001E03C9">
      <w:pPr>
        <w:spacing w:line="288" w:lineRule="auto"/>
        <w:ind w:firstLine="708"/>
        <w:jc w:val="both"/>
        <w:rPr>
          <w:rFonts w:asciiTheme="majorHAnsi" w:eastAsia="Gulim" w:hAnsiTheme="majorHAnsi" w:cstheme="majorHAnsi"/>
          <w:sz w:val="22"/>
          <w:szCs w:val="22"/>
        </w:rPr>
      </w:pPr>
    </w:p>
    <w:p w:rsidR="001E03C9" w:rsidRPr="00AE0F32" w:rsidRDefault="001E03C9" w:rsidP="00D719DC">
      <w:pPr>
        <w:spacing w:line="288" w:lineRule="auto"/>
        <w:jc w:val="both"/>
        <w:rPr>
          <w:rFonts w:asciiTheme="majorHAnsi" w:eastAsia="Gulim" w:hAnsiTheme="majorHAnsi" w:cstheme="majorHAnsi"/>
          <w:b/>
          <w:sz w:val="22"/>
          <w:szCs w:val="22"/>
          <w:u w:val="single"/>
        </w:rPr>
      </w:pPr>
      <w:r w:rsidRPr="00AE0F32">
        <w:rPr>
          <w:rFonts w:asciiTheme="majorHAnsi" w:eastAsia="Gulim" w:hAnsiTheme="majorHAnsi" w:cstheme="majorHAnsi"/>
          <w:b/>
          <w:sz w:val="22"/>
          <w:szCs w:val="22"/>
          <w:u w:val="single"/>
        </w:rPr>
        <w:t>1.3 Údaje o zpracovateli projektové dokumentace:</w:t>
      </w:r>
    </w:p>
    <w:p w:rsidR="001E03C9" w:rsidRPr="00AE0F32" w:rsidRDefault="001E03C9" w:rsidP="001E03C9">
      <w:pPr>
        <w:spacing w:line="288" w:lineRule="auto"/>
        <w:ind w:firstLine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Ing. Jitka Vágnerová, Mezírka 746/4, 602 00 Brno, IČ 75691698</w:t>
      </w:r>
    </w:p>
    <w:p w:rsidR="001E03C9" w:rsidRPr="00AE0F32" w:rsidRDefault="001E03C9" w:rsidP="00D719DC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Zapsaná na seznamu autorizovaných architektů pod autorizačním číslem 03 722, Autorizace pro obor krajinářská architektura</w:t>
      </w:r>
    </w:p>
    <w:p w:rsidR="00426FE8" w:rsidRPr="00AE0F32" w:rsidRDefault="00426FE8" w:rsidP="00D719DC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</w:p>
    <w:p w:rsidR="00426FE8" w:rsidRPr="00AE0F32" w:rsidRDefault="00426FE8" w:rsidP="00426FE8">
      <w:pPr>
        <w:spacing w:line="288" w:lineRule="auto"/>
        <w:ind w:left="708"/>
        <w:jc w:val="right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2. SEZNAM VSTUPNÍCH PODKLADŮ</w:t>
      </w:r>
    </w:p>
    <w:p w:rsidR="00426FE8" w:rsidRPr="00AE0F32" w:rsidRDefault="00426FE8" w:rsidP="00426FE8">
      <w:pPr>
        <w:spacing w:line="288" w:lineRule="auto"/>
        <w:ind w:left="708"/>
        <w:jc w:val="right"/>
        <w:rPr>
          <w:rFonts w:asciiTheme="majorHAnsi" w:eastAsia="Gulim" w:hAnsiTheme="majorHAnsi" w:cstheme="majorHAnsi"/>
          <w:sz w:val="22"/>
          <w:szCs w:val="22"/>
        </w:rPr>
      </w:pPr>
    </w:p>
    <w:p w:rsidR="00426FE8" w:rsidRPr="00AE0F32" w:rsidRDefault="00426FE8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Digitální katastrální mapa</w:t>
      </w:r>
    </w:p>
    <w:p w:rsidR="00542F8C" w:rsidRPr="00AE0F32" w:rsidRDefault="00542F8C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Geodetické zaměření lokality z listopadu 2016</w:t>
      </w:r>
    </w:p>
    <w:p w:rsidR="00426FE8" w:rsidRPr="00AE0F32" w:rsidRDefault="00426FE8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Územní plán města Brna</w:t>
      </w:r>
    </w:p>
    <w:p w:rsidR="00426FE8" w:rsidRPr="00AE0F32" w:rsidRDefault="00426FE8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Trasy vedení sítí poskytnuté městem Brnem</w:t>
      </w:r>
    </w:p>
    <w:p w:rsidR="00426FE8" w:rsidRPr="00AE0F32" w:rsidRDefault="00426FE8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Požadavky investora na herní prvky</w:t>
      </w:r>
    </w:p>
    <w:p w:rsidR="00625224" w:rsidRPr="00AE0F32" w:rsidRDefault="00426FE8" w:rsidP="0083242D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Vlastní průzkumy a rozbory (zakreslení a inventarizace vzrostlých stromů)</w:t>
      </w:r>
    </w:p>
    <w:p w:rsidR="00542F8C" w:rsidRPr="00AE0F32" w:rsidRDefault="00542F8C" w:rsidP="00167302">
      <w:pPr>
        <w:spacing w:line="288" w:lineRule="auto"/>
        <w:jc w:val="both"/>
        <w:rPr>
          <w:rFonts w:asciiTheme="majorHAnsi" w:eastAsia="Gulim" w:hAnsiTheme="majorHAnsi" w:cstheme="majorHAnsi"/>
          <w:sz w:val="22"/>
          <w:szCs w:val="22"/>
        </w:rPr>
      </w:pPr>
    </w:p>
    <w:p w:rsidR="00426FE8" w:rsidRPr="00AE0F32" w:rsidRDefault="00426FE8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</w:p>
    <w:p w:rsidR="00426FE8" w:rsidRPr="00AE0F32" w:rsidRDefault="00426FE8" w:rsidP="00D50EAE">
      <w:pPr>
        <w:spacing w:line="288" w:lineRule="auto"/>
        <w:ind w:left="708"/>
        <w:jc w:val="right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3. ÚDAJE O ÚZEMÍ</w:t>
      </w:r>
    </w:p>
    <w:p w:rsidR="00426FE8" w:rsidRPr="00AE0F32" w:rsidRDefault="00426FE8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</w:p>
    <w:p w:rsidR="00426FE8" w:rsidRPr="00AE0F32" w:rsidRDefault="00582F44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 xml:space="preserve">Jedná se ostávající školní zahradu, která se nachází v zastavěném území města. V současnosti je prostor využíván jako zahrada MŠ a dětské hřiště, způsob využití zůstane zachován. </w:t>
      </w:r>
      <w:r w:rsidR="00542F8C" w:rsidRPr="00AE0F32">
        <w:rPr>
          <w:rFonts w:asciiTheme="majorHAnsi" w:eastAsia="Gulim" w:hAnsiTheme="majorHAnsi" w:cstheme="majorHAnsi"/>
          <w:sz w:val="22"/>
          <w:szCs w:val="22"/>
        </w:rPr>
        <w:t xml:space="preserve">V současné době se na zahradě nachází </w:t>
      </w:r>
      <w:r w:rsidR="00B359AA">
        <w:rPr>
          <w:rFonts w:asciiTheme="majorHAnsi" w:eastAsia="Gulim" w:hAnsiTheme="majorHAnsi" w:cstheme="majorHAnsi"/>
          <w:sz w:val="22"/>
          <w:szCs w:val="22"/>
        </w:rPr>
        <w:t>tři pískoviště, drobná stavba skladu, bývalé sauny a ochlazovacího bazénku, původní pergola a kamenné zídky</w:t>
      </w:r>
      <w:r w:rsidR="00542F8C" w:rsidRPr="00AE0F32">
        <w:rPr>
          <w:rFonts w:asciiTheme="majorHAnsi" w:eastAsia="Gulim" w:hAnsiTheme="majorHAnsi" w:cstheme="majorHAnsi"/>
          <w:sz w:val="22"/>
          <w:szCs w:val="22"/>
        </w:rPr>
        <w:t xml:space="preserve"> a několik herních prvků.</w:t>
      </w:r>
      <w:r w:rsidR="00B359AA">
        <w:rPr>
          <w:rFonts w:asciiTheme="majorHAnsi" w:eastAsia="Gulim" w:hAnsiTheme="majorHAnsi" w:cstheme="majorHAnsi"/>
          <w:sz w:val="22"/>
          <w:szCs w:val="22"/>
        </w:rPr>
        <w:t xml:space="preserve"> Herní prvky jsou udržované a budou zachovány.</w:t>
      </w:r>
      <w:r w:rsidR="00542F8C" w:rsidRPr="00AE0F32">
        <w:rPr>
          <w:rFonts w:asciiTheme="majorHAnsi" w:eastAsia="Gulim" w:hAnsiTheme="majorHAnsi" w:cstheme="majorHAnsi"/>
          <w:sz w:val="22"/>
          <w:szCs w:val="22"/>
        </w:rPr>
        <w:t xml:space="preserve"> </w:t>
      </w:r>
      <w:r w:rsidR="00B359AA">
        <w:rPr>
          <w:rFonts w:asciiTheme="majorHAnsi" w:eastAsia="Gulim" w:hAnsiTheme="majorHAnsi" w:cstheme="majorHAnsi"/>
          <w:sz w:val="22"/>
          <w:szCs w:val="22"/>
        </w:rPr>
        <w:t>Pozemek je oplocen, z části je oplocení nevyhovující a nestabilní konstrukce (plotové panely ukotveny neodpovídajícím způsobem na sloupky původně určené k nižšímu zatížení).</w:t>
      </w:r>
      <w:r w:rsidR="00542F8C" w:rsidRPr="00AE0F32">
        <w:rPr>
          <w:rFonts w:asciiTheme="majorHAnsi" w:eastAsia="Gulim" w:hAnsiTheme="majorHAnsi" w:cstheme="majorHAnsi"/>
          <w:sz w:val="22"/>
          <w:szCs w:val="22"/>
        </w:rPr>
        <w:t xml:space="preserve"> </w:t>
      </w:r>
    </w:p>
    <w:p w:rsidR="00542F8C" w:rsidRPr="00AE0F32" w:rsidRDefault="00582F44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Území nepodléhá ochraně dle jiných právních předpisů. Srážková voda se vsakuje na pozemku. Odtokové poměry se nezmění.</w:t>
      </w:r>
      <w:r w:rsidR="00625224" w:rsidRPr="00AE0F32">
        <w:rPr>
          <w:rFonts w:asciiTheme="majorHAnsi" w:eastAsia="Gulim" w:hAnsiTheme="majorHAnsi" w:cstheme="majorHAnsi"/>
          <w:sz w:val="22"/>
          <w:szCs w:val="22"/>
        </w:rPr>
        <w:t xml:space="preserve"> </w:t>
      </w:r>
    </w:p>
    <w:p w:rsidR="00582F44" w:rsidRPr="00AE0F32" w:rsidRDefault="00582F44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Projekt je v souladu s platným </w:t>
      </w:r>
      <w:r w:rsidR="00542F8C" w:rsidRPr="00AE0F32">
        <w:rPr>
          <w:rFonts w:asciiTheme="majorHAnsi" w:eastAsia="Gulim" w:hAnsiTheme="majorHAnsi" w:cstheme="majorHAnsi"/>
          <w:sz w:val="22"/>
          <w:szCs w:val="22"/>
        </w:rPr>
        <w:t>územním plánem města Brna</w:t>
      </w:r>
      <w:r w:rsidRPr="00AE0F32">
        <w:rPr>
          <w:rFonts w:asciiTheme="majorHAnsi" w:eastAsia="Gulim" w:hAnsiTheme="majorHAnsi" w:cstheme="majorHAnsi"/>
          <w:sz w:val="22"/>
          <w:szCs w:val="22"/>
        </w:rPr>
        <w:t xml:space="preserve">. Pozemky jsou určeny jako plochy </w:t>
      </w:r>
      <w:r w:rsidR="00EB0C95" w:rsidRPr="00AE0F32">
        <w:rPr>
          <w:rFonts w:asciiTheme="majorHAnsi" w:eastAsia="Gulim" w:hAnsiTheme="majorHAnsi" w:cstheme="majorHAnsi"/>
          <w:sz w:val="22"/>
          <w:szCs w:val="22"/>
        </w:rPr>
        <w:t>obecné bydlení s přípustným využitím podílu jako občanská vybavenost</w:t>
      </w:r>
      <w:r w:rsidRPr="00AE0F32">
        <w:rPr>
          <w:rFonts w:asciiTheme="majorHAnsi" w:eastAsia="Gulim" w:hAnsiTheme="majorHAnsi" w:cstheme="majorHAnsi"/>
          <w:sz w:val="22"/>
          <w:szCs w:val="22"/>
        </w:rPr>
        <w:t>.</w:t>
      </w:r>
      <w:r w:rsidR="00292026" w:rsidRPr="00AE0F32">
        <w:rPr>
          <w:rFonts w:asciiTheme="majorHAnsi" w:eastAsia="Gulim" w:hAnsiTheme="majorHAnsi" w:cstheme="majorHAnsi"/>
          <w:sz w:val="22"/>
          <w:szCs w:val="22"/>
        </w:rPr>
        <w:t xml:space="preserve"> Projekt je v souladu s cíli</w:t>
      </w:r>
      <w:r w:rsidR="00B82635" w:rsidRPr="00AE0F32">
        <w:rPr>
          <w:rFonts w:asciiTheme="majorHAnsi" w:eastAsia="Gulim" w:hAnsiTheme="majorHAnsi" w:cstheme="majorHAnsi"/>
          <w:sz w:val="22"/>
          <w:szCs w:val="22"/>
        </w:rPr>
        <w:t xml:space="preserve"> a úkoly územního plánování, obecné požadavky na využití území budou dodrženy, případné požadavky dotčených orgánů budou splněny.</w:t>
      </w:r>
      <w:r w:rsidR="00333060" w:rsidRPr="00AE0F32">
        <w:rPr>
          <w:rFonts w:asciiTheme="majorHAnsi" w:eastAsia="Gulim" w:hAnsiTheme="majorHAnsi" w:cstheme="majorHAnsi"/>
          <w:sz w:val="22"/>
          <w:szCs w:val="22"/>
        </w:rPr>
        <w:t xml:space="preserve"> Nejsou poskytnuty žádné výjimky a úlevová řešení, nejsou požadovány podmiňující investice.</w:t>
      </w:r>
    </w:p>
    <w:p w:rsidR="00542F8C" w:rsidRPr="00AE0F32" w:rsidRDefault="004A5EA6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.</w:t>
      </w:r>
    </w:p>
    <w:p w:rsidR="006A1274" w:rsidRPr="00AE0F32" w:rsidRDefault="00333060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lastRenderedPageBreak/>
        <w:t>Seznam pozemků</w:t>
      </w:r>
      <w:r w:rsidR="0065763B">
        <w:rPr>
          <w:rFonts w:asciiTheme="majorHAnsi" w:eastAsia="Gulim" w:hAnsiTheme="majorHAnsi" w:cstheme="majorHAnsi"/>
          <w:sz w:val="22"/>
          <w:szCs w:val="22"/>
        </w:rPr>
        <w:t xml:space="preserve"> </w:t>
      </w:r>
      <w:r w:rsidRPr="00AE0F32">
        <w:rPr>
          <w:rFonts w:asciiTheme="majorHAnsi" w:eastAsia="Gulim" w:hAnsiTheme="majorHAnsi" w:cstheme="majorHAnsi"/>
          <w:sz w:val="22"/>
          <w:szCs w:val="22"/>
        </w:rPr>
        <w:t xml:space="preserve">– </w:t>
      </w:r>
      <w:r w:rsidR="00B359AA" w:rsidRPr="00AE0F32">
        <w:rPr>
          <w:rFonts w:asciiTheme="majorHAnsi" w:eastAsia="Gulim" w:hAnsiTheme="majorHAnsi" w:cstheme="majorHAnsi"/>
          <w:sz w:val="22"/>
          <w:szCs w:val="22"/>
        </w:rPr>
        <w:t xml:space="preserve">KÚ: </w:t>
      </w:r>
      <w:r w:rsidR="00B359AA">
        <w:rPr>
          <w:rFonts w:asciiTheme="majorHAnsi" w:eastAsia="Gulim" w:hAnsiTheme="majorHAnsi" w:cstheme="majorHAnsi"/>
          <w:sz w:val="22"/>
          <w:szCs w:val="22"/>
        </w:rPr>
        <w:t>610089</w:t>
      </w:r>
      <w:r w:rsidR="00B359AA" w:rsidRPr="00AE0F32">
        <w:rPr>
          <w:rFonts w:asciiTheme="majorHAnsi" w:eastAsia="Gulim" w:hAnsiTheme="majorHAnsi" w:cstheme="majorHAnsi"/>
          <w:sz w:val="22"/>
          <w:szCs w:val="22"/>
        </w:rPr>
        <w:t xml:space="preserve"> </w:t>
      </w:r>
      <w:r w:rsidR="00B359AA">
        <w:rPr>
          <w:rFonts w:asciiTheme="majorHAnsi" w:eastAsia="Gulim" w:hAnsiTheme="majorHAnsi" w:cstheme="majorHAnsi"/>
          <w:sz w:val="22"/>
          <w:szCs w:val="22"/>
        </w:rPr>
        <w:t>Staré Brno (okres Brno-město), parc. číslo</w:t>
      </w:r>
      <w:r w:rsidR="00B359AA" w:rsidRPr="00AE0F32">
        <w:rPr>
          <w:rFonts w:asciiTheme="majorHAnsi" w:eastAsia="Gulim" w:hAnsiTheme="majorHAnsi" w:cstheme="majorHAnsi"/>
          <w:sz w:val="22"/>
          <w:szCs w:val="22"/>
        </w:rPr>
        <w:t xml:space="preserve"> </w:t>
      </w:r>
      <w:r w:rsidR="00B359AA">
        <w:rPr>
          <w:rFonts w:asciiTheme="majorHAnsi" w:eastAsia="Gulim" w:hAnsiTheme="majorHAnsi" w:cstheme="majorHAnsi"/>
          <w:sz w:val="22"/>
          <w:szCs w:val="22"/>
        </w:rPr>
        <w:t>1620, druh pozemku: zastavěná plocha a nádvoří, způsob využití: společný dvůr.</w:t>
      </w:r>
    </w:p>
    <w:p w:rsidR="006A1274" w:rsidRPr="00AE0F32" w:rsidRDefault="006A1274" w:rsidP="00745D2C">
      <w:pPr>
        <w:spacing w:line="288" w:lineRule="auto"/>
        <w:ind w:left="708"/>
        <w:jc w:val="right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4. ÚDAJE O STAVBĚ</w:t>
      </w:r>
    </w:p>
    <w:p w:rsidR="00745D2C" w:rsidRPr="00AE0F32" w:rsidRDefault="00745D2C" w:rsidP="00745D2C">
      <w:pPr>
        <w:spacing w:line="288" w:lineRule="auto"/>
        <w:ind w:left="708"/>
        <w:jc w:val="right"/>
        <w:rPr>
          <w:rFonts w:asciiTheme="majorHAnsi" w:eastAsia="Gulim" w:hAnsiTheme="majorHAnsi" w:cstheme="majorHAnsi"/>
          <w:sz w:val="22"/>
          <w:szCs w:val="22"/>
        </w:rPr>
      </w:pPr>
    </w:p>
    <w:p w:rsidR="006A1274" w:rsidRPr="00AE0F32" w:rsidRDefault="00B359AA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>
        <w:rPr>
          <w:rFonts w:asciiTheme="majorHAnsi" w:eastAsia="Gulim" w:hAnsiTheme="majorHAnsi" w:cstheme="majorHAnsi"/>
          <w:sz w:val="22"/>
          <w:szCs w:val="22"/>
        </w:rPr>
        <w:t>Jedná se o odstranění stavby původní pergoly a drobných opěrných zídek z kamenů a betonu, dále o odstranění plechového krytí ochlazovacího bazénku (vlnitý plech), o stavbu devěného otevřeného altánu v místě původního zastřešení bazénku a o úpravu zpevněných ploch původní pergoly na dopadovou plochu. Část původní pergoly se schodištěm bude zachována a nově využita</w:t>
      </w:r>
      <w:r w:rsidR="00E0416F">
        <w:rPr>
          <w:rFonts w:asciiTheme="majorHAnsi" w:eastAsia="Gulim" w:hAnsiTheme="majorHAnsi" w:cstheme="majorHAnsi"/>
          <w:sz w:val="22"/>
          <w:szCs w:val="22"/>
        </w:rPr>
        <w:t xml:space="preserve"> pro kotvení stínící textilie nad dřevěnou palubou. Dále dojde k vytvoření atypické herní sestavy prvků ve svahu a chobotnice z akátového dřeva a lan s ocelovým jádrem. Herní prvky v rámci hřiště budou doplněny typizovanou herní sestavou z akátového dřeva ve formě lodi. V rámci projektu budou vykáceny 2 jehličnaté stromy a dva jehličnaté keře o obvodu kmene menším než 80 cm.</w:t>
      </w:r>
    </w:p>
    <w:p w:rsidR="006A1274" w:rsidRPr="00AE0F32" w:rsidRDefault="006A1274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Stavba nebude chráněna dle jiných právních předpisů.</w:t>
      </w:r>
    </w:p>
    <w:p w:rsidR="006A1274" w:rsidRPr="00AE0F32" w:rsidRDefault="006A1274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Obecně technické požadavky budou dodrženy, stávající přístupy na pozemek nejsou předmětem úpravy.</w:t>
      </w:r>
      <w:r w:rsidR="00E0416F">
        <w:rPr>
          <w:rFonts w:asciiTheme="majorHAnsi" w:eastAsia="Gulim" w:hAnsiTheme="majorHAnsi" w:cstheme="majorHAnsi"/>
          <w:sz w:val="22"/>
          <w:szCs w:val="22"/>
        </w:rPr>
        <w:t xml:space="preserve"> Všechny plochy jsou řešeny bezbarierově.</w:t>
      </w:r>
    </w:p>
    <w:p w:rsidR="006A1274" w:rsidRPr="00AE0F32" w:rsidRDefault="006A1274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Prvky dětského hřiště budou odpovídat normám ČSN EN 1176/2009 - Norma bezpečnostní pro zařízení dětských hřišť a ČSN EN 1177 - Povrch hřiště tlumící náraz-bezpečnostní požadavky a zkušební metody</w:t>
      </w:r>
      <w:r w:rsidR="008741A0" w:rsidRPr="00AE0F32">
        <w:rPr>
          <w:rFonts w:asciiTheme="majorHAnsi" w:eastAsia="Gulim" w:hAnsiTheme="majorHAnsi" w:cstheme="majorHAnsi"/>
          <w:sz w:val="22"/>
          <w:szCs w:val="22"/>
        </w:rPr>
        <w:t>.</w:t>
      </w:r>
    </w:p>
    <w:p w:rsidR="008741A0" w:rsidRPr="00AE0F32" w:rsidRDefault="008741A0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Celková upravená plocha hřiště činí</w:t>
      </w:r>
      <w:r w:rsidR="00EB0C95" w:rsidRPr="00AE0F32">
        <w:rPr>
          <w:rFonts w:asciiTheme="majorHAnsi" w:eastAsia="Gulim" w:hAnsiTheme="majorHAnsi" w:cstheme="majorHAnsi"/>
          <w:sz w:val="22"/>
          <w:szCs w:val="22"/>
        </w:rPr>
        <w:t xml:space="preserve"> </w:t>
      </w:r>
      <w:r w:rsidR="00E0416F">
        <w:rPr>
          <w:rFonts w:asciiTheme="majorHAnsi" w:eastAsia="Gulim" w:hAnsiTheme="majorHAnsi" w:cstheme="majorHAnsi"/>
          <w:sz w:val="22"/>
          <w:szCs w:val="22"/>
        </w:rPr>
        <w:t>2600</w:t>
      </w:r>
      <w:r w:rsidR="00EB0C95" w:rsidRPr="00AE0F32">
        <w:rPr>
          <w:rFonts w:asciiTheme="majorHAnsi" w:eastAsia="Gulim" w:hAnsiTheme="majorHAnsi" w:cstheme="majorHAnsi"/>
          <w:sz w:val="22"/>
          <w:szCs w:val="22"/>
        </w:rPr>
        <w:t xml:space="preserve"> </w:t>
      </w:r>
      <w:r w:rsidRPr="00AE0F32">
        <w:rPr>
          <w:rFonts w:asciiTheme="majorHAnsi" w:eastAsia="Gulim" w:hAnsiTheme="majorHAnsi" w:cstheme="majorHAnsi"/>
          <w:sz w:val="22"/>
          <w:szCs w:val="22"/>
        </w:rPr>
        <w:t xml:space="preserve">m2. Kapacita zahrady odpovídá kapacitě MŠ, tzn. </w:t>
      </w:r>
      <w:r w:rsidR="00E0416F">
        <w:rPr>
          <w:rFonts w:asciiTheme="majorHAnsi" w:eastAsia="Gulim" w:hAnsiTheme="majorHAnsi" w:cstheme="majorHAnsi"/>
          <w:sz w:val="22"/>
          <w:szCs w:val="22"/>
        </w:rPr>
        <w:t>120</w:t>
      </w:r>
      <w:r w:rsidRPr="00AE0F32">
        <w:rPr>
          <w:rFonts w:asciiTheme="majorHAnsi" w:eastAsia="Gulim" w:hAnsiTheme="majorHAnsi" w:cstheme="majorHAnsi"/>
          <w:sz w:val="22"/>
          <w:szCs w:val="22"/>
        </w:rPr>
        <w:t xml:space="preserve"> dětí.</w:t>
      </w:r>
    </w:p>
    <w:p w:rsidR="008741A0" w:rsidRPr="00AE0F32" w:rsidRDefault="008741A0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Stavba nespotřebovává media ani hmoty, dešťové vody budou vsakovány přímo na pozemku, stavba neprodukuje odpady, emise apod.</w:t>
      </w:r>
    </w:p>
    <w:p w:rsidR="008741A0" w:rsidRPr="00AE0F32" w:rsidRDefault="008741A0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Základní předpoklady výstavby</w:t>
      </w:r>
      <w:r w:rsidR="000E4AAF" w:rsidRPr="00AE0F32">
        <w:rPr>
          <w:rFonts w:asciiTheme="majorHAnsi" w:eastAsia="Gulim" w:hAnsiTheme="majorHAnsi" w:cstheme="majorHAnsi"/>
          <w:sz w:val="22"/>
          <w:szCs w:val="22"/>
        </w:rPr>
        <w:t xml:space="preserve"> je dostatek finančních zdrojů</w:t>
      </w:r>
      <w:r w:rsidR="00366B50" w:rsidRPr="00AE0F32">
        <w:rPr>
          <w:rFonts w:asciiTheme="majorHAnsi" w:eastAsia="Gulim" w:hAnsiTheme="majorHAnsi" w:cstheme="majorHAnsi"/>
          <w:sz w:val="22"/>
          <w:szCs w:val="22"/>
        </w:rPr>
        <w:t xml:space="preserve"> investora</w:t>
      </w:r>
      <w:r w:rsidRPr="00AE0F32">
        <w:rPr>
          <w:rFonts w:asciiTheme="majorHAnsi" w:eastAsia="Gulim" w:hAnsiTheme="majorHAnsi" w:cstheme="majorHAnsi"/>
          <w:sz w:val="22"/>
          <w:szCs w:val="22"/>
        </w:rPr>
        <w:t xml:space="preserve">. </w:t>
      </w:r>
    </w:p>
    <w:p w:rsidR="008741A0" w:rsidRPr="00AE0F32" w:rsidRDefault="008741A0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Předpokládané zah</w:t>
      </w:r>
      <w:r w:rsidR="00366B50" w:rsidRPr="00AE0F32">
        <w:rPr>
          <w:rFonts w:asciiTheme="majorHAnsi" w:eastAsia="Gulim" w:hAnsiTheme="majorHAnsi" w:cstheme="majorHAnsi"/>
          <w:sz w:val="22"/>
          <w:szCs w:val="22"/>
        </w:rPr>
        <w:t>ájení realizace je červen 2017</w:t>
      </w:r>
      <w:r w:rsidRPr="00AE0F32">
        <w:rPr>
          <w:rFonts w:asciiTheme="majorHAnsi" w:eastAsia="Gulim" w:hAnsiTheme="majorHAnsi" w:cstheme="majorHAnsi"/>
          <w:sz w:val="22"/>
          <w:szCs w:val="22"/>
        </w:rPr>
        <w:t xml:space="preserve">, předpokládané ukončení </w:t>
      </w:r>
      <w:r w:rsidR="00366B50" w:rsidRPr="00AE0F32">
        <w:rPr>
          <w:rFonts w:asciiTheme="majorHAnsi" w:eastAsia="Gulim" w:hAnsiTheme="majorHAnsi" w:cstheme="majorHAnsi"/>
          <w:sz w:val="22"/>
          <w:szCs w:val="22"/>
        </w:rPr>
        <w:t>září 2017</w:t>
      </w:r>
      <w:r w:rsidRPr="00AE0F32">
        <w:rPr>
          <w:rFonts w:asciiTheme="majorHAnsi" w:eastAsia="Gulim" w:hAnsiTheme="majorHAnsi" w:cstheme="majorHAnsi"/>
          <w:sz w:val="22"/>
          <w:szCs w:val="22"/>
        </w:rPr>
        <w:t xml:space="preserve">. </w:t>
      </w:r>
    </w:p>
    <w:p w:rsidR="008741A0" w:rsidRPr="00AE0F32" w:rsidRDefault="008741A0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 xml:space="preserve">Orientační náklady: </w:t>
      </w:r>
      <w:r w:rsidR="00366B50" w:rsidRPr="00AE0F32">
        <w:rPr>
          <w:rFonts w:asciiTheme="majorHAnsi" w:eastAsia="Gulim" w:hAnsiTheme="majorHAnsi" w:cstheme="majorHAnsi"/>
          <w:sz w:val="22"/>
          <w:szCs w:val="22"/>
        </w:rPr>
        <w:t>2</w:t>
      </w:r>
      <w:r w:rsidRPr="00AE0F32">
        <w:rPr>
          <w:rFonts w:asciiTheme="majorHAnsi" w:eastAsia="Gulim" w:hAnsiTheme="majorHAnsi" w:cstheme="majorHAnsi"/>
          <w:sz w:val="22"/>
          <w:szCs w:val="22"/>
        </w:rPr>
        <w:t xml:space="preserve"> mil. Kč</w:t>
      </w:r>
    </w:p>
    <w:p w:rsidR="008741A0" w:rsidRPr="00AE0F32" w:rsidRDefault="008741A0" w:rsidP="00426FE8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</w:p>
    <w:p w:rsidR="008741A0" w:rsidRPr="00AE0F32" w:rsidRDefault="008741A0" w:rsidP="00745D2C">
      <w:pPr>
        <w:pStyle w:val="Odstavecseseznamem"/>
        <w:numPr>
          <w:ilvl w:val="0"/>
          <w:numId w:val="10"/>
        </w:numPr>
        <w:spacing w:line="288" w:lineRule="auto"/>
        <w:jc w:val="right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ČLENĚNÍ STAVBY NA STAVEBNÍ OBJEKTY, TECHNICKÁ A TECHNOLOGICKÁ ZAŘÍZENÍ</w:t>
      </w:r>
    </w:p>
    <w:p w:rsidR="00745D2C" w:rsidRPr="00AE0F32" w:rsidRDefault="00745D2C" w:rsidP="00D50EAE">
      <w:pPr>
        <w:pStyle w:val="Odstavecseseznamem"/>
        <w:spacing w:line="288" w:lineRule="auto"/>
        <w:ind w:left="1080"/>
        <w:jc w:val="center"/>
        <w:rPr>
          <w:rFonts w:asciiTheme="majorHAnsi" w:eastAsia="Gulim" w:hAnsiTheme="majorHAnsi" w:cstheme="majorHAnsi"/>
          <w:sz w:val="22"/>
          <w:szCs w:val="22"/>
        </w:rPr>
      </w:pPr>
    </w:p>
    <w:p w:rsidR="000E4AAF" w:rsidRPr="00AE0F32" w:rsidRDefault="00745D2C" w:rsidP="00D50EAE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Stavba je č</w:t>
      </w:r>
      <w:r w:rsidR="008741A0" w:rsidRPr="00AE0F32">
        <w:rPr>
          <w:rFonts w:asciiTheme="majorHAnsi" w:eastAsia="Gulim" w:hAnsiTheme="majorHAnsi" w:cstheme="majorHAnsi"/>
          <w:sz w:val="22"/>
          <w:szCs w:val="22"/>
        </w:rPr>
        <w:t xml:space="preserve">leněna na </w:t>
      </w:r>
      <w:r w:rsidR="000E4AAF" w:rsidRPr="00AE0F32">
        <w:rPr>
          <w:rFonts w:asciiTheme="majorHAnsi" w:eastAsia="Gulim" w:hAnsiTheme="majorHAnsi" w:cstheme="majorHAnsi"/>
          <w:sz w:val="22"/>
          <w:szCs w:val="22"/>
        </w:rPr>
        <w:t>násled</w:t>
      </w:r>
      <w:r w:rsidR="0083242D" w:rsidRPr="00AE0F32">
        <w:rPr>
          <w:rFonts w:asciiTheme="majorHAnsi" w:eastAsia="Gulim" w:hAnsiTheme="majorHAnsi" w:cstheme="majorHAnsi"/>
          <w:sz w:val="22"/>
          <w:szCs w:val="22"/>
        </w:rPr>
        <w:t>u</w:t>
      </w:r>
      <w:r w:rsidR="000E4AAF" w:rsidRPr="00AE0F32">
        <w:rPr>
          <w:rFonts w:asciiTheme="majorHAnsi" w:eastAsia="Gulim" w:hAnsiTheme="majorHAnsi" w:cstheme="majorHAnsi"/>
          <w:sz w:val="22"/>
          <w:szCs w:val="22"/>
        </w:rPr>
        <w:t>jící</w:t>
      </w:r>
      <w:r w:rsidR="008741A0" w:rsidRPr="00AE0F32">
        <w:rPr>
          <w:rFonts w:asciiTheme="majorHAnsi" w:eastAsia="Gulim" w:hAnsiTheme="majorHAnsi" w:cstheme="majorHAnsi"/>
          <w:sz w:val="22"/>
          <w:szCs w:val="22"/>
        </w:rPr>
        <w:t xml:space="preserve"> stavební objekty</w:t>
      </w:r>
      <w:r w:rsidR="000E4AAF" w:rsidRPr="00AE0F32">
        <w:rPr>
          <w:rFonts w:asciiTheme="majorHAnsi" w:eastAsia="Gulim" w:hAnsiTheme="majorHAnsi" w:cstheme="majorHAnsi"/>
          <w:sz w:val="22"/>
          <w:szCs w:val="22"/>
        </w:rPr>
        <w:t>:</w:t>
      </w:r>
      <w:r w:rsidR="008741A0" w:rsidRPr="00AE0F32">
        <w:rPr>
          <w:rFonts w:asciiTheme="majorHAnsi" w:eastAsia="Gulim" w:hAnsiTheme="majorHAnsi" w:cstheme="majorHAnsi"/>
          <w:sz w:val="22"/>
          <w:szCs w:val="22"/>
        </w:rPr>
        <w:t xml:space="preserve"> </w:t>
      </w:r>
    </w:p>
    <w:p w:rsidR="008741A0" w:rsidRPr="00AE0F32" w:rsidRDefault="000E4AAF" w:rsidP="00D50EAE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SO</w:t>
      </w:r>
      <w:r w:rsidR="00C733E4">
        <w:rPr>
          <w:rFonts w:asciiTheme="majorHAnsi" w:eastAsia="Gulim" w:hAnsiTheme="majorHAnsi" w:cstheme="majorHAnsi"/>
          <w:sz w:val="22"/>
          <w:szCs w:val="22"/>
        </w:rPr>
        <w:t xml:space="preserve"> </w:t>
      </w:r>
      <w:r w:rsidRPr="00AE0F32">
        <w:rPr>
          <w:rFonts w:asciiTheme="majorHAnsi" w:eastAsia="Gulim" w:hAnsiTheme="majorHAnsi" w:cstheme="majorHAnsi"/>
          <w:sz w:val="22"/>
          <w:szCs w:val="22"/>
        </w:rPr>
        <w:t xml:space="preserve">01 – </w:t>
      </w:r>
      <w:r w:rsidR="0065763B">
        <w:rPr>
          <w:rFonts w:asciiTheme="majorHAnsi" w:eastAsia="Gulim" w:hAnsiTheme="majorHAnsi" w:cstheme="majorHAnsi"/>
          <w:sz w:val="22"/>
          <w:szCs w:val="22"/>
        </w:rPr>
        <w:t>Příprava území</w:t>
      </w:r>
      <w:r w:rsidR="00E0416F">
        <w:rPr>
          <w:rFonts w:asciiTheme="majorHAnsi" w:eastAsia="Gulim" w:hAnsiTheme="majorHAnsi" w:cstheme="majorHAnsi"/>
          <w:sz w:val="22"/>
          <w:szCs w:val="22"/>
        </w:rPr>
        <w:t>, demolice</w:t>
      </w:r>
    </w:p>
    <w:p w:rsidR="000E4AAF" w:rsidRPr="00AE0F32" w:rsidRDefault="000E4AAF" w:rsidP="00341C09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SO</w:t>
      </w:r>
      <w:r w:rsidR="00C733E4">
        <w:rPr>
          <w:rFonts w:asciiTheme="majorHAnsi" w:eastAsia="Gulim" w:hAnsiTheme="majorHAnsi" w:cstheme="majorHAnsi"/>
          <w:sz w:val="22"/>
          <w:szCs w:val="22"/>
        </w:rPr>
        <w:t xml:space="preserve"> </w:t>
      </w:r>
      <w:r w:rsidRPr="00AE0F32">
        <w:rPr>
          <w:rFonts w:asciiTheme="majorHAnsi" w:eastAsia="Gulim" w:hAnsiTheme="majorHAnsi" w:cstheme="majorHAnsi"/>
          <w:sz w:val="22"/>
          <w:szCs w:val="22"/>
        </w:rPr>
        <w:t xml:space="preserve">02 – </w:t>
      </w:r>
      <w:r w:rsidR="00341C09">
        <w:rPr>
          <w:rFonts w:asciiTheme="majorHAnsi" w:eastAsia="Gulim" w:hAnsiTheme="majorHAnsi" w:cstheme="majorHAnsi"/>
          <w:sz w:val="22"/>
          <w:szCs w:val="22"/>
        </w:rPr>
        <w:t>Zpevněné plochy</w:t>
      </w:r>
      <w:r w:rsidR="00606784">
        <w:rPr>
          <w:rFonts w:asciiTheme="majorHAnsi" w:eastAsia="Gulim" w:hAnsiTheme="majorHAnsi" w:cstheme="majorHAnsi"/>
          <w:sz w:val="22"/>
          <w:szCs w:val="22"/>
        </w:rPr>
        <w:t xml:space="preserve"> </w:t>
      </w:r>
    </w:p>
    <w:p w:rsidR="000E4AAF" w:rsidRPr="00AE0F32" w:rsidRDefault="000E4AAF" w:rsidP="00D50EAE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>SO 03</w:t>
      </w:r>
      <w:r w:rsidR="0083242D" w:rsidRPr="00AE0F32">
        <w:rPr>
          <w:rFonts w:asciiTheme="majorHAnsi" w:eastAsia="Gulim" w:hAnsiTheme="majorHAnsi" w:cstheme="majorHAnsi"/>
          <w:sz w:val="22"/>
          <w:szCs w:val="22"/>
        </w:rPr>
        <w:t xml:space="preserve"> – </w:t>
      </w:r>
      <w:r w:rsidR="0065763B" w:rsidRPr="00AE0F32">
        <w:rPr>
          <w:rFonts w:asciiTheme="majorHAnsi" w:eastAsia="Gulim" w:hAnsiTheme="majorHAnsi" w:cstheme="majorHAnsi"/>
          <w:sz w:val="22"/>
          <w:szCs w:val="22"/>
        </w:rPr>
        <w:t>Sadovnické úpravy</w:t>
      </w:r>
    </w:p>
    <w:p w:rsidR="00341C09" w:rsidRDefault="0083242D" w:rsidP="00D50EAE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 w:rsidRPr="00AE0F32">
        <w:rPr>
          <w:rFonts w:asciiTheme="majorHAnsi" w:eastAsia="Gulim" w:hAnsiTheme="majorHAnsi" w:cstheme="majorHAnsi"/>
          <w:sz w:val="22"/>
          <w:szCs w:val="22"/>
        </w:rPr>
        <w:t xml:space="preserve">SO 04 – </w:t>
      </w:r>
      <w:r w:rsidR="00341C09">
        <w:rPr>
          <w:rFonts w:asciiTheme="majorHAnsi" w:eastAsia="Gulim" w:hAnsiTheme="majorHAnsi" w:cstheme="majorHAnsi"/>
          <w:sz w:val="22"/>
          <w:szCs w:val="22"/>
        </w:rPr>
        <w:t>Oplocení</w:t>
      </w:r>
    </w:p>
    <w:p w:rsidR="00341C09" w:rsidRDefault="00341C09" w:rsidP="00D50EAE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>
        <w:rPr>
          <w:rFonts w:asciiTheme="majorHAnsi" w:eastAsia="Gulim" w:hAnsiTheme="majorHAnsi" w:cstheme="majorHAnsi"/>
          <w:sz w:val="22"/>
          <w:szCs w:val="22"/>
        </w:rPr>
        <w:t>SO 05 – Drobné stavby</w:t>
      </w:r>
    </w:p>
    <w:p w:rsidR="0083242D" w:rsidRPr="00AE0F32" w:rsidRDefault="00C733E4" w:rsidP="00D50EAE">
      <w:pPr>
        <w:spacing w:line="288" w:lineRule="auto"/>
        <w:ind w:left="708"/>
        <w:jc w:val="both"/>
        <w:rPr>
          <w:rFonts w:asciiTheme="majorHAnsi" w:eastAsia="Gulim" w:hAnsiTheme="majorHAnsi" w:cstheme="majorHAnsi"/>
          <w:sz w:val="22"/>
          <w:szCs w:val="22"/>
        </w:rPr>
      </w:pPr>
      <w:r>
        <w:rPr>
          <w:rFonts w:asciiTheme="majorHAnsi" w:eastAsia="Gulim" w:hAnsiTheme="majorHAnsi" w:cstheme="majorHAnsi"/>
          <w:sz w:val="22"/>
          <w:szCs w:val="22"/>
        </w:rPr>
        <w:t>SO 06</w:t>
      </w:r>
      <w:r w:rsidR="00341C09">
        <w:rPr>
          <w:rFonts w:asciiTheme="majorHAnsi" w:eastAsia="Gulim" w:hAnsiTheme="majorHAnsi" w:cstheme="majorHAnsi"/>
          <w:sz w:val="22"/>
          <w:szCs w:val="22"/>
        </w:rPr>
        <w:t xml:space="preserve"> - </w:t>
      </w:r>
      <w:r w:rsidR="0065763B" w:rsidRPr="00AE0F32">
        <w:rPr>
          <w:rFonts w:asciiTheme="majorHAnsi" w:eastAsia="Gulim" w:hAnsiTheme="majorHAnsi" w:cstheme="majorHAnsi"/>
          <w:sz w:val="22"/>
          <w:szCs w:val="22"/>
        </w:rPr>
        <w:t xml:space="preserve">Herní prvky a mobiliář </w:t>
      </w:r>
    </w:p>
    <w:p w:rsidR="008741A0" w:rsidRPr="00AE0F32" w:rsidRDefault="008741A0" w:rsidP="008741A0">
      <w:pPr>
        <w:pStyle w:val="Odstavecseseznamem"/>
        <w:spacing w:line="288" w:lineRule="auto"/>
        <w:ind w:left="1080"/>
        <w:jc w:val="both"/>
        <w:rPr>
          <w:rFonts w:asciiTheme="majorHAnsi" w:eastAsia="Gulim" w:hAnsiTheme="majorHAnsi" w:cstheme="majorHAnsi"/>
          <w:sz w:val="22"/>
          <w:szCs w:val="22"/>
        </w:rPr>
      </w:pPr>
    </w:p>
    <w:p w:rsidR="00B84F37" w:rsidRPr="00AE0F32" w:rsidRDefault="00B84F37" w:rsidP="00B84F37">
      <w:pPr>
        <w:spacing w:line="288" w:lineRule="auto"/>
        <w:jc w:val="both"/>
        <w:rPr>
          <w:rFonts w:asciiTheme="majorHAnsi" w:eastAsia="Gulim" w:hAnsiTheme="majorHAnsi" w:cstheme="majorHAnsi"/>
          <w:sz w:val="22"/>
          <w:szCs w:val="22"/>
        </w:rPr>
      </w:pPr>
    </w:p>
    <w:sectPr w:rsidR="00B84F37" w:rsidRPr="00AE0F32" w:rsidSect="00156BD7">
      <w:footerReference w:type="default" r:id="rId8"/>
      <w:pgSz w:w="11906" w:h="16838"/>
      <w:pgMar w:top="903" w:right="1416" w:bottom="1418" w:left="1361" w:header="0" w:footer="720" w:gutter="0"/>
      <w:pgNumType w:start="0"/>
      <w:cols w:space="708"/>
      <w:titlePg/>
      <w:docGrid w:linePitch="600" w:charSpace="409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5712C" w:rsidRDefault="00F5712C" w:rsidP="00421712">
      <w:r>
        <w:separator/>
      </w:r>
    </w:p>
  </w:endnote>
  <w:endnote w:type="continuationSeparator" w:id="0">
    <w:p w:rsidR="00F5712C" w:rsidRDefault="00F5712C" w:rsidP="004217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8CF3C50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EU Albertina">
    <w:altName w:val="Times New Roman"/>
    <w:charset w:val="00"/>
    <w:family w:val="roman"/>
    <w:pitch w:val="default"/>
  </w:font>
  <w:font w:name="Times New Roman Bold">
    <w:altName w:val="Times New Roman"/>
    <w:charset w:val="00"/>
    <w:family w:val="roman"/>
    <w:pitch w:val="default"/>
  </w:font>
  <w:font w:name="Gulim">
    <w:altName w:val="Arial Unicode MS"/>
    <w:panose1 w:val="020B0600000101010101"/>
    <w:charset w:val="81"/>
    <w:family w:val="roman"/>
    <w:notTrueType/>
    <w:pitch w:val="fixed"/>
    <w:sig w:usb0="00000000" w:usb1="09060000" w:usb2="00000010" w:usb3="00000000" w:csb0="0008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239833125"/>
      <w:docPartObj>
        <w:docPartGallery w:val="Page Numbers (Bottom of Page)"/>
        <w:docPartUnique/>
      </w:docPartObj>
    </w:sdtPr>
    <w:sdtEndPr/>
    <w:sdtContent>
      <w:p w:rsidR="00D50EAE" w:rsidRDefault="00D50EAE">
        <w:pPr>
          <w:pStyle w:val="Zpat"/>
          <w:jc w:val="right"/>
        </w:pPr>
      </w:p>
      <w:p w:rsidR="00D50EAE" w:rsidRDefault="00D50EAE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83BF1">
          <w:rPr>
            <w:noProof/>
          </w:rPr>
          <w:t>1</w:t>
        </w:r>
        <w:r>
          <w:fldChar w:fldCharType="end"/>
        </w:r>
      </w:p>
    </w:sdtContent>
  </w:sdt>
  <w:p w:rsidR="00421712" w:rsidRDefault="00421712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5712C" w:rsidRDefault="00F5712C" w:rsidP="00421712">
      <w:r>
        <w:separator/>
      </w:r>
    </w:p>
  </w:footnote>
  <w:footnote w:type="continuationSeparator" w:id="0">
    <w:p w:rsidR="00F5712C" w:rsidRDefault="00F5712C" w:rsidP="0042171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  <w:lvl w:ilvl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>
      <w:start w:val="1"/>
      <w:numFmt w:val="lowerRoman"/>
      <w:pStyle w:val="Nadpis3"/>
      <w:lvlText w:val="%3."/>
      <w:lvlJc w:val="right"/>
      <w:pPr>
        <w:tabs>
          <w:tab w:val="num" w:pos="2220"/>
        </w:tabs>
        <w:ind w:left="2220" w:hanging="180"/>
      </w:pPr>
    </w:lvl>
    <w:lvl w:ilvl="3">
      <w:start w:val="1"/>
      <w:numFmt w:val="decimal"/>
      <w:pStyle w:val="Nadpis4"/>
      <w:lvlText w:val="%4."/>
      <w:lvlJc w:val="left"/>
      <w:pPr>
        <w:tabs>
          <w:tab w:val="num" w:pos="2940"/>
        </w:tabs>
        <w:ind w:left="2940" w:hanging="360"/>
      </w:pPr>
    </w:lvl>
    <w:lvl w:ilvl="4">
      <w:start w:val="1"/>
      <w:numFmt w:val="lowerLetter"/>
      <w:pStyle w:val="Nadpis5"/>
      <w:lvlText w:val="%5."/>
      <w:lvlJc w:val="left"/>
      <w:pPr>
        <w:tabs>
          <w:tab w:val="num" w:pos="3660"/>
        </w:tabs>
        <w:ind w:left="3660" w:hanging="360"/>
      </w:pPr>
    </w:lvl>
    <w:lvl w:ilvl="5">
      <w:start w:val="1"/>
      <w:numFmt w:val="lowerRoman"/>
      <w:pStyle w:val="Nadpis6"/>
      <w:lvlText w:val="%6."/>
      <w:lvlJc w:val="right"/>
      <w:pPr>
        <w:tabs>
          <w:tab w:val="num" w:pos="4380"/>
        </w:tabs>
        <w:ind w:left="4380" w:hanging="180"/>
      </w:pPr>
    </w:lvl>
    <w:lvl w:ilvl="6">
      <w:start w:val="1"/>
      <w:numFmt w:val="decimal"/>
      <w:pStyle w:val="Nadpis7"/>
      <w:lvlText w:val="%7."/>
      <w:lvlJc w:val="left"/>
      <w:pPr>
        <w:tabs>
          <w:tab w:val="num" w:pos="5100"/>
        </w:tabs>
        <w:ind w:left="5100" w:hanging="360"/>
      </w:pPr>
    </w:lvl>
    <w:lvl w:ilvl="7">
      <w:start w:val="1"/>
      <w:numFmt w:val="lowerLetter"/>
      <w:pStyle w:val="Nadpis8"/>
      <w:lvlText w:val="%8."/>
      <w:lvlJc w:val="left"/>
      <w:pPr>
        <w:tabs>
          <w:tab w:val="num" w:pos="5820"/>
        </w:tabs>
        <w:ind w:left="5820" w:hanging="360"/>
      </w:pPr>
    </w:lvl>
    <w:lvl w:ilvl="8">
      <w:start w:val="1"/>
      <w:numFmt w:val="lowerRoman"/>
      <w:pStyle w:val="Nadpis9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numFmt w:val="bullet"/>
      <w:lvlText w:val="-"/>
      <w:lvlJc w:val="left"/>
      <w:pPr>
        <w:tabs>
          <w:tab w:val="num" w:pos="708"/>
        </w:tabs>
        <w:ind w:left="720" w:hanging="360"/>
      </w:pPr>
      <w:rPr>
        <w:rFonts w:ascii="Times New Roman" w:hAnsi="Times New Roman"/>
        <w:szCs w:val="24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3"/>
      <w:numFmt w:val="bullet"/>
      <w:lvlText w:val="-"/>
      <w:lvlJc w:val="left"/>
      <w:pPr>
        <w:tabs>
          <w:tab w:val="num" w:pos="0"/>
        </w:tabs>
        <w:ind w:left="360" w:hanging="360"/>
      </w:pPr>
      <w:rPr>
        <w:rFonts w:ascii="Times New Roman" w:hAnsi="Times New Roman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numFmt w:val="bullet"/>
      <w:lvlText w:val="-"/>
      <w:lvlJc w:val="left"/>
      <w:pPr>
        <w:tabs>
          <w:tab w:val="num" w:pos="0"/>
        </w:tabs>
        <w:ind w:left="360" w:hanging="360"/>
      </w:pPr>
      <w:rPr>
        <w:rFonts w:ascii="Times New Roman" w:hAnsi="Times New Roman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3"/>
      <w:numFmt w:val="bullet"/>
      <w:lvlText w:val="-"/>
      <w:lvlJc w:val="left"/>
      <w:pPr>
        <w:tabs>
          <w:tab w:val="num" w:pos="0"/>
        </w:tabs>
        <w:ind w:left="360" w:hanging="360"/>
      </w:pPr>
      <w:rPr>
        <w:rFonts w:ascii="Times New Roman" w:hAnsi="Times New Roman" w:cs="Symbol" w:hint="default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Symbol" w:hint="default"/>
      </w:rPr>
    </w:lvl>
  </w:abstractNum>
  <w:abstractNum w:abstractNumId="6" w15:restartNumberingAfterBreak="0">
    <w:nsid w:val="231B71B4"/>
    <w:multiLevelType w:val="hybridMultilevel"/>
    <w:tmpl w:val="30C447F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C56461"/>
    <w:multiLevelType w:val="hybridMultilevel"/>
    <w:tmpl w:val="30CC74E0"/>
    <w:lvl w:ilvl="0" w:tplc="9D8A686A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3A3960AD"/>
    <w:multiLevelType w:val="hybridMultilevel"/>
    <w:tmpl w:val="6584DC9E"/>
    <w:lvl w:ilvl="0" w:tplc="2F6815AA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C505C8E"/>
    <w:multiLevelType w:val="hybridMultilevel"/>
    <w:tmpl w:val="3B74534A"/>
    <w:lvl w:ilvl="0" w:tplc="D766221E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7B46114D"/>
    <w:multiLevelType w:val="hybridMultilevel"/>
    <w:tmpl w:val="D908BC0C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10"/>
  </w:num>
  <w:num w:numId="9">
    <w:abstractNumId w:val="9"/>
  </w:num>
  <w:num w:numId="10">
    <w:abstractNumId w:val="7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34AD"/>
    <w:rsid w:val="00000F00"/>
    <w:rsid w:val="00006D18"/>
    <w:rsid w:val="00032D65"/>
    <w:rsid w:val="00043FFF"/>
    <w:rsid w:val="00060BBD"/>
    <w:rsid w:val="00080F9B"/>
    <w:rsid w:val="00083BF1"/>
    <w:rsid w:val="00085B0D"/>
    <w:rsid w:val="00085F3B"/>
    <w:rsid w:val="000B0A66"/>
    <w:rsid w:val="000B1A73"/>
    <w:rsid w:val="000C1439"/>
    <w:rsid w:val="000C3864"/>
    <w:rsid w:val="000D072C"/>
    <w:rsid w:val="000D2C2B"/>
    <w:rsid w:val="000E4AAF"/>
    <w:rsid w:val="000F4E73"/>
    <w:rsid w:val="00106973"/>
    <w:rsid w:val="0013061D"/>
    <w:rsid w:val="00156BD7"/>
    <w:rsid w:val="00167302"/>
    <w:rsid w:val="0019157F"/>
    <w:rsid w:val="001E03C9"/>
    <w:rsid w:val="001E6B20"/>
    <w:rsid w:val="00260E72"/>
    <w:rsid w:val="002612A4"/>
    <w:rsid w:val="00271166"/>
    <w:rsid w:val="00286E9D"/>
    <w:rsid w:val="00292026"/>
    <w:rsid w:val="002927E2"/>
    <w:rsid w:val="002A6F49"/>
    <w:rsid w:val="002B61F7"/>
    <w:rsid w:val="002E2F9A"/>
    <w:rsid w:val="00310232"/>
    <w:rsid w:val="00320D74"/>
    <w:rsid w:val="00333060"/>
    <w:rsid w:val="00341C09"/>
    <w:rsid w:val="00366B50"/>
    <w:rsid w:val="00375581"/>
    <w:rsid w:val="00376119"/>
    <w:rsid w:val="0038785E"/>
    <w:rsid w:val="003A58D3"/>
    <w:rsid w:val="003C78DD"/>
    <w:rsid w:val="003D18CB"/>
    <w:rsid w:val="0040718D"/>
    <w:rsid w:val="00421712"/>
    <w:rsid w:val="00426FE8"/>
    <w:rsid w:val="00446348"/>
    <w:rsid w:val="004A5EA6"/>
    <w:rsid w:val="004B51D1"/>
    <w:rsid w:val="004C77AA"/>
    <w:rsid w:val="004E1854"/>
    <w:rsid w:val="00536A40"/>
    <w:rsid w:val="005412B3"/>
    <w:rsid w:val="00542F8C"/>
    <w:rsid w:val="00557A5D"/>
    <w:rsid w:val="00582F44"/>
    <w:rsid w:val="005867CB"/>
    <w:rsid w:val="005A6E0F"/>
    <w:rsid w:val="005D0FEF"/>
    <w:rsid w:val="005D7B05"/>
    <w:rsid w:val="00606784"/>
    <w:rsid w:val="00625224"/>
    <w:rsid w:val="006318B5"/>
    <w:rsid w:val="0065763B"/>
    <w:rsid w:val="006A1274"/>
    <w:rsid w:val="007445E5"/>
    <w:rsid w:val="00745D2C"/>
    <w:rsid w:val="00755770"/>
    <w:rsid w:val="007A0E9B"/>
    <w:rsid w:val="007A3572"/>
    <w:rsid w:val="007C311F"/>
    <w:rsid w:val="0081267B"/>
    <w:rsid w:val="0082387D"/>
    <w:rsid w:val="0083242D"/>
    <w:rsid w:val="008741A0"/>
    <w:rsid w:val="008801FE"/>
    <w:rsid w:val="008A3BA3"/>
    <w:rsid w:val="008D7355"/>
    <w:rsid w:val="009077D6"/>
    <w:rsid w:val="009134AD"/>
    <w:rsid w:val="00915086"/>
    <w:rsid w:val="009346D5"/>
    <w:rsid w:val="009C5DEA"/>
    <w:rsid w:val="009D2806"/>
    <w:rsid w:val="009D6C8C"/>
    <w:rsid w:val="00A17A48"/>
    <w:rsid w:val="00AC6E01"/>
    <w:rsid w:val="00AE0F32"/>
    <w:rsid w:val="00AE5A89"/>
    <w:rsid w:val="00B02817"/>
    <w:rsid w:val="00B30196"/>
    <w:rsid w:val="00B359AA"/>
    <w:rsid w:val="00B4077F"/>
    <w:rsid w:val="00B82635"/>
    <w:rsid w:val="00B82661"/>
    <w:rsid w:val="00B84F37"/>
    <w:rsid w:val="00BD254C"/>
    <w:rsid w:val="00BD6310"/>
    <w:rsid w:val="00BE1279"/>
    <w:rsid w:val="00BE5165"/>
    <w:rsid w:val="00BF3DCF"/>
    <w:rsid w:val="00C008AB"/>
    <w:rsid w:val="00C733E4"/>
    <w:rsid w:val="00C958D3"/>
    <w:rsid w:val="00CB2448"/>
    <w:rsid w:val="00CD20DD"/>
    <w:rsid w:val="00CE042B"/>
    <w:rsid w:val="00D147ED"/>
    <w:rsid w:val="00D14E12"/>
    <w:rsid w:val="00D16FBF"/>
    <w:rsid w:val="00D50EAE"/>
    <w:rsid w:val="00D719DC"/>
    <w:rsid w:val="00D808D3"/>
    <w:rsid w:val="00D86EE7"/>
    <w:rsid w:val="00DA0CDB"/>
    <w:rsid w:val="00DA366F"/>
    <w:rsid w:val="00DB3988"/>
    <w:rsid w:val="00DB5450"/>
    <w:rsid w:val="00DB5838"/>
    <w:rsid w:val="00E0416F"/>
    <w:rsid w:val="00E100FD"/>
    <w:rsid w:val="00E33952"/>
    <w:rsid w:val="00E45CD4"/>
    <w:rsid w:val="00E472FE"/>
    <w:rsid w:val="00E871F6"/>
    <w:rsid w:val="00E94B0D"/>
    <w:rsid w:val="00EB0C95"/>
    <w:rsid w:val="00F3647A"/>
    <w:rsid w:val="00F5712C"/>
    <w:rsid w:val="00F77D51"/>
    <w:rsid w:val="00F949A4"/>
    <w:rsid w:val="00FB5C94"/>
    <w:rsid w:val="00FF2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5:chartTrackingRefBased/>
  <w15:docId w15:val="{785D1EE4-7DF6-4FA7-B1AE-F8FA2C9B5B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suppressAutoHyphens/>
    </w:pPr>
    <w:rPr>
      <w:lang w:eastAsia="ar-SA"/>
    </w:rPr>
  </w:style>
  <w:style w:type="paragraph" w:styleId="Nadpis1">
    <w:name w:val="heading 1"/>
    <w:basedOn w:val="Normln"/>
    <w:next w:val="Normln"/>
    <w:qFormat/>
    <w:pPr>
      <w:keepNext/>
      <w:spacing w:before="240" w:after="60"/>
      <w:outlineLvl w:val="0"/>
    </w:pPr>
    <w:rPr>
      <w:rFonts w:ascii="Arial" w:hAnsi="Arial" w:cs="Arial"/>
      <w:b/>
      <w:kern w:val="1"/>
      <w:sz w:val="28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b/>
      <w:sz w:val="40"/>
    </w:rPr>
  </w:style>
  <w:style w:type="paragraph" w:styleId="Nadpis3">
    <w:name w:val="heading 3"/>
    <w:basedOn w:val="Normln"/>
    <w:next w:val="Zkladntext"/>
    <w:qFormat/>
    <w:pPr>
      <w:numPr>
        <w:ilvl w:val="2"/>
        <w:numId w:val="1"/>
      </w:numPr>
      <w:spacing w:after="60"/>
      <w:ind w:left="1287" w:firstLine="0"/>
      <w:jc w:val="both"/>
      <w:outlineLvl w:val="2"/>
    </w:pPr>
    <w:rPr>
      <w:rFonts w:ascii="Arial" w:hAnsi="Arial" w:cs="Arial"/>
      <w:sz w:val="22"/>
    </w:rPr>
  </w:style>
  <w:style w:type="paragraph" w:styleId="Nadpis4">
    <w:name w:val="heading 4"/>
    <w:basedOn w:val="Normln"/>
    <w:next w:val="Normln"/>
    <w:qFormat/>
    <w:pPr>
      <w:keepNext/>
      <w:numPr>
        <w:ilvl w:val="3"/>
        <w:numId w:val="1"/>
      </w:numPr>
      <w:spacing w:before="240" w:after="60"/>
      <w:outlineLvl w:val="3"/>
    </w:pPr>
    <w:rPr>
      <w:rFonts w:ascii="Arial" w:hAnsi="Arial" w:cs="Arial"/>
      <w:b/>
      <w:sz w:val="28"/>
    </w:rPr>
  </w:style>
  <w:style w:type="paragraph" w:styleId="Nadpis5">
    <w:name w:val="heading 5"/>
    <w:basedOn w:val="Normln"/>
    <w:next w:val="Normln"/>
    <w:qFormat/>
    <w:pPr>
      <w:numPr>
        <w:ilvl w:val="4"/>
        <w:numId w:val="1"/>
      </w:numPr>
      <w:spacing w:before="240" w:after="60"/>
      <w:outlineLvl w:val="4"/>
    </w:pPr>
    <w:rPr>
      <w:rFonts w:ascii="Arial" w:hAnsi="Arial" w:cs="Arial"/>
      <w:b/>
      <w:i/>
      <w:sz w:val="26"/>
    </w:rPr>
  </w:style>
  <w:style w:type="paragraph" w:styleId="Nadpis6">
    <w:name w:val="heading 6"/>
    <w:basedOn w:val="Normln"/>
    <w:next w:val="Normln"/>
    <w:qFormat/>
    <w:pPr>
      <w:numPr>
        <w:ilvl w:val="5"/>
        <w:numId w:val="1"/>
      </w:numPr>
      <w:spacing w:before="240" w:after="60"/>
      <w:outlineLvl w:val="5"/>
    </w:pPr>
    <w:rPr>
      <w:rFonts w:ascii="Arial" w:hAnsi="Arial" w:cs="Arial"/>
      <w:b/>
      <w:sz w:val="22"/>
    </w:rPr>
  </w:style>
  <w:style w:type="paragraph" w:styleId="Nadpis7">
    <w:name w:val="heading 7"/>
    <w:basedOn w:val="Normln"/>
    <w:next w:val="Normln"/>
    <w:qFormat/>
    <w:pPr>
      <w:numPr>
        <w:ilvl w:val="6"/>
        <w:numId w:val="1"/>
      </w:numPr>
      <w:spacing w:before="240" w:after="60"/>
      <w:outlineLvl w:val="6"/>
    </w:pPr>
    <w:rPr>
      <w:rFonts w:ascii="Arial" w:hAnsi="Arial" w:cs="Arial"/>
      <w:sz w:val="24"/>
    </w:rPr>
  </w:style>
  <w:style w:type="paragraph" w:styleId="Nadpis8">
    <w:name w:val="heading 8"/>
    <w:basedOn w:val="Normln"/>
    <w:next w:val="Normln"/>
    <w:qFormat/>
    <w:pPr>
      <w:numPr>
        <w:ilvl w:val="7"/>
        <w:numId w:val="1"/>
      </w:numPr>
      <w:spacing w:before="240" w:after="60"/>
      <w:outlineLvl w:val="7"/>
    </w:pPr>
    <w:rPr>
      <w:rFonts w:ascii="Arial" w:hAnsi="Arial" w:cs="Arial"/>
      <w:i/>
      <w:sz w:val="24"/>
    </w:rPr>
  </w:style>
  <w:style w:type="paragraph" w:styleId="Nadpis9">
    <w:name w:val="heading 9"/>
    <w:basedOn w:val="Normln"/>
    <w:next w:val="Normln"/>
    <w:qFormat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szCs w:val="24"/>
    </w:rPr>
  </w:style>
  <w:style w:type="character" w:customStyle="1" w:styleId="WW8Num3z0">
    <w:name w:val="WW8Num3z0"/>
  </w:style>
  <w:style w:type="character" w:customStyle="1" w:styleId="WW8Num4z0">
    <w:name w:val="WW8Num4z0"/>
  </w:style>
  <w:style w:type="character" w:customStyle="1" w:styleId="WW8Num5z0">
    <w:name w:val="WW8Num5z0"/>
    <w:rPr>
      <w:rFonts w:ascii="Symbol" w:hAnsi="Symbol" w:cs="Symbol" w:hint="default"/>
    </w:rPr>
  </w:style>
  <w:style w:type="character" w:customStyle="1" w:styleId="WW8Num6z0">
    <w:name w:val="WW8Num6z0"/>
    <w:rPr>
      <w:rFonts w:ascii="Symbol" w:hAnsi="Symbol" w:cs="Symbol" w:hint="default"/>
    </w:rPr>
  </w:style>
  <w:style w:type="character" w:customStyle="1" w:styleId="Standardnpsmoodstavce2">
    <w:name w:val="Standardní písmo odstavce2"/>
  </w:style>
  <w:style w:type="character" w:customStyle="1" w:styleId="WW8Num7z0">
    <w:name w:val="WW8Num7z0"/>
    <w:rPr>
      <w:rFonts w:ascii="Symbol" w:hAnsi="Symbol" w:cs="Symbol" w:hint="default"/>
    </w:rPr>
  </w:style>
  <w:style w:type="character" w:customStyle="1" w:styleId="WW8Num8z0">
    <w:name w:val="WW8Num8z0"/>
    <w:rPr>
      <w:rFonts w:ascii="Symbol" w:hAnsi="Symbol" w:cs="Symbol" w:hint="default"/>
    </w:rPr>
  </w:style>
  <w:style w:type="character" w:customStyle="1" w:styleId="WW8Num9z0">
    <w:name w:val="WW8Num9z0"/>
  </w:style>
  <w:style w:type="character" w:customStyle="1" w:styleId="WW8Num10z0">
    <w:name w:val="WW8Num10z0"/>
    <w:rPr>
      <w:rFonts w:ascii="Symbol" w:hAnsi="Symbol" w:cs="Symbol" w:hint="default"/>
    </w:rPr>
  </w:style>
  <w:style w:type="character" w:customStyle="1" w:styleId="WW8Num11z0">
    <w:name w:val="WW8Num11z0"/>
  </w:style>
  <w:style w:type="character" w:customStyle="1" w:styleId="WW8Num12z0">
    <w:name w:val="WW8Num12z0"/>
    <w:rPr>
      <w:rFonts w:ascii="Times New Roman" w:eastAsia="Times New Roman" w:hAnsi="Times New Roman" w:cs="Times New Roman" w:hint="default"/>
      <w:szCs w:val="24"/>
    </w:rPr>
  </w:style>
  <w:style w:type="character" w:customStyle="1" w:styleId="WW8Num12z1">
    <w:name w:val="WW8Num12z1"/>
    <w:rPr>
      <w:rFonts w:ascii="Courier New" w:hAnsi="Courier New" w:cs="Courier New" w:hint="default"/>
    </w:rPr>
  </w:style>
  <w:style w:type="character" w:customStyle="1" w:styleId="WW8Num12z2">
    <w:name w:val="WW8Num12z2"/>
    <w:rPr>
      <w:rFonts w:ascii="Wingdings" w:hAnsi="Wingdings" w:cs="Wingdings" w:hint="default"/>
    </w:rPr>
  </w:style>
  <w:style w:type="character" w:customStyle="1" w:styleId="WW8Num12z3">
    <w:name w:val="WW8Num12z3"/>
    <w:rPr>
      <w:rFonts w:ascii="Symbol" w:hAnsi="Symbol" w:cs="Symbol" w:hint="default"/>
    </w:rPr>
  </w:style>
  <w:style w:type="character" w:customStyle="1" w:styleId="WW8Num13z0">
    <w:name w:val="WW8Num13z0"/>
    <w:rPr>
      <w:rFonts w:hint="default"/>
      <w:b/>
    </w:rPr>
  </w:style>
  <w:style w:type="character" w:customStyle="1" w:styleId="WW8Num14z0">
    <w:name w:val="WW8Num14z0"/>
    <w:rPr>
      <w:rFonts w:ascii="Times New Roman" w:eastAsia="Times New Roman" w:hAnsi="Times New Roman" w:cs="Times New Roman" w:hint="default"/>
    </w:rPr>
  </w:style>
  <w:style w:type="character" w:customStyle="1" w:styleId="WW8Num15z0">
    <w:name w:val="WW8Num15z0"/>
    <w:rPr>
      <w:rFonts w:ascii="Times New Roman" w:eastAsia="Times New Roman" w:hAnsi="Times New Roman" w:cs="Times New Roman" w:hint="default"/>
    </w:rPr>
  </w:style>
  <w:style w:type="character" w:customStyle="1" w:styleId="WW8Num15z1">
    <w:name w:val="WW8Num15z1"/>
    <w:rPr>
      <w:rFonts w:ascii="Courier New" w:hAnsi="Courier New" w:cs="Courier New" w:hint="default"/>
    </w:rPr>
  </w:style>
  <w:style w:type="character" w:customStyle="1" w:styleId="WW8Num15z2">
    <w:name w:val="WW8Num15z2"/>
    <w:rPr>
      <w:rFonts w:ascii="Wingdings" w:hAnsi="Wingdings" w:cs="Wingdings" w:hint="default"/>
    </w:rPr>
  </w:style>
  <w:style w:type="character" w:customStyle="1" w:styleId="WW8Num15z3">
    <w:name w:val="WW8Num15z3"/>
    <w:rPr>
      <w:rFonts w:ascii="Symbol" w:hAnsi="Symbol" w:cs="Symbol" w:hint="default"/>
    </w:rPr>
  </w:style>
  <w:style w:type="character" w:customStyle="1" w:styleId="WW8Num16z0">
    <w:name w:val="WW8Num16z0"/>
    <w:rPr>
      <w:rFonts w:hint="default"/>
    </w:rPr>
  </w:style>
  <w:style w:type="character" w:customStyle="1" w:styleId="WW8Num16z1">
    <w:name w:val="WW8Num16z1"/>
  </w:style>
  <w:style w:type="character" w:customStyle="1" w:styleId="WW8Num16z2">
    <w:name w:val="WW8Num16z2"/>
  </w:style>
  <w:style w:type="character" w:customStyle="1" w:styleId="WW8Num16z3">
    <w:name w:val="WW8Num16z3"/>
  </w:style>
  <w:style w:type="character" w:customStyle="1" w:styleId="WW8Num16z4">
    <w:name w:val="WW8Num16z4"/>
  </w:style>
  <w:style w:type="character" w:customStyle="1" w:styleId="WW8Num16z5">
    <w:name w:val="WW8Num16z5"/>
  </w:style>
  <w:style w:type="character" w:customStyle="1" w:styleId="WW8Num16z6">
    <w:name w:val="WW8Num16z6"/>
  </w:style>
  <w:style w:type="character" w:customStyle="1" w:styleId="WW8Num16z7">
    <w:name w:val="WW8Num16z7"/>
  </w:style>
  <w:style w:type="character" w:customStyle="1" w:styleId="WW8Num16z8">
    <w:name w:val="WW8Num16z8"/>
  </w:style>
  <w:style w:type="character" w:customStyle="1" w:styleId="WW8Num17z0">
    <w:name w:val="WW8Num17z0"/>
    <w:rPr>
      <w:rFonts w:hint="default"/>
    </w:rPr>
  </w:style>
  <w:style w:type="character" w:customStyle="1" w:styleId="WW8Num17z1">
    <w:name w:val="WW8Num17z1"/>
  </w:style>
  <w:style w:type="character" w:customStyle="1" w:styleId="WW8Num17z2">
    <w:name w:val="WW8Num17z2"/>
  </w:style>
  <w:style w:type="character" w:customStyle="1" w:styleId="WW8Num17z3">
    <w:name w:val="WW8Num17z3"/>
  </w:style>
  <w:style w:type="character" w:customStyle="1" w:styleId="WW8Num17z4">
    <w:name w:val="WW8Num17z4"/>
  </w:style>
  <w:style w:type="character" w:customStyle="1" w:styleId="WW8Num17z5">
    <w:name w:val="WW8Num17z5"/>
  </w:style>
  <w:style w:type="character" w:customStyle="1" w:styleId="WW8Num17z6">
    <w:name w:val="WW8Num17z6"/>
  </w:style>
  <w:style w:type="character" w:customStyle="1" w:styleId="WW8Num17z7">
    <w:name w:val="WW8Num17z7"/>
  </w:style>
  <w:style w:type="character" w:customStyle="1" w:styleId="WW8Num17z8">
    <w:name w:val="WW8Num17z8"/>
  </w:style>
  <w:style w:type="character" w:customStyle="1" w:styleId="WW8Num18z0">
    <w:name w:val="WW8Num18z0"/>
    <w:rPr>
      <w:rFonts w:hint="default"/>
    </w:rPr>
  </w:style>
  <w:style w:type="character" w:customStyle="1" w:styleId="WW8Num19z0">
    <w:name w:val="WW8Num19z0"/>
    <w:rPr>
      <w:rFonts w:hint="default"/>
    </w:rPr>
  </w:style>
  <w:style w:type="character" w:customStyle="1" w:styleId="WW8Num20z0">
    <w:name w:val="WW8Num20z0"/>
    <w:rPr>
      <w:rFonts w:ascii="Times New Roman" w:hAnsi="Times New Roman" w:cs="Times New Roman" w:hint="default"/>
      <w:b/>
      <w:i w:val="0"/>
      <w:sz w:val="24"/>
      <w:u w:val="none"/>
    </w:rPr>
  </w:style>
  <w:style w:type="character" w:customStyle="1" w:styleId="WW8Num21z0">
    <w:name w:val="WW8Num21z0"/>
    <w:rPr>
      <w:rFonts w:ascii="Symbol" w:hAnsi="Symbol" w:cs="Symbol" w:hint="default"/>
      <w:color w:val="auto"/>
    </w:rPr>
  </w:style>
  <w:style w:type="character" w:customStyle="1" w:styleId="WW8Num21z1">
    <w:name w:val="WW8Num21z1"/>
    <w:rPr>
      <w:rFonts w:ascii="Courier New" w:hAnsi="Courier New" w:cs="Courier New" w:hint="default"/>
    </w:rPr>
  </w:style>
  <w:style w:type="character" w:customStyle="1" w:styleId="WW8Num21z2">
    <w:name w:val="WW8Num21z2"/>
    <w:rPr>
      <w:rFonts w:ascii="Wingdings" w:hAnsi="Wingdings" w:cs="Wingdings" w:hint="default"/>
    </w:rPr>
  </w:style>
  <w:style w:type="character" w:customStyle="1" w:styleId="WW8Num21z3">
    <w:name w:val="WW8Num21z3"/>
    <w:rPr>
      <w:rFonts w:ascii="Symbol" w:hAnsi="Symbol" w:cs="Symbol" w:hint="default"/>
    </w:rPr>
  </w:style>
  <w:style w:type="character" w:customStyle="1" w:styleId="WW8Num22z0">
    <w:name w:val="WW8Num22z0"/>
    <w:rPr>
      <w:rFonts w:hint="default"/>
    </w:rPr>
  </w:style>
  <w:style w:type="character" w:customStyle="1" w:styleId="WW8Num23z0">
    <w:name w:val="WW8Num23z0"/>
    <w:rPr>
      <w:rFonts w:hint="default"/>
      <w:b/>
    </w:rPr>
  </w:style>
  <w:style w:type="character" w:customStyle="1" w:styleId="WW8Num24z0">
    <w:name w:val="WW8Num24z0"/>
    <w:rPr>
      <w:rFonts w:hint="default"/>
    </w:rPr>
  </w:style>
  <w:style w:type="character" w:customStyle="1" w:styleId="WW8Num25z0">
    <w:name w:val="WW8Num25z0"/>
    <w:rPr>
      <w:rFonts w:hint="default"/>
    </w:rPr>
  </w:style>
  <w:style w:type="character" w:customStyle="1" w:styleId="WW8Num25z1">
    <w:name w:val="WW8Num25z1"/>
  </w:style>
  <w:style w:type="character" w:customStyle="1" w:styleId="WW8Num25z2">
    <w:name w:val="WW8Num25z2"/>
  </w:style>
  <w:style w:type="character" w:customStyle="1" w:styleId="WW8Num25z3">
    <w:name w:val="WW8Num25z3"/>
  </w:style>
  <w:style w:type="character" w:customStyle="1" w:styleId="WW8Num25z4">
    <w:name w:val="WW8Num25z4"/>
  </w:style>
  <w:style w:type="character" w:customStyle="1" w:styleId="WW8Num25z5">
    <w:name w:val="WW8Num25z5"/>
  </w:style>
  <w:style w:type="character" w:customStyle="1" w:styleId="WW8Num25z6">
    <w:name w:val="WW8Num25z6"/>
  </w:style>
  <w:style w:type="character" w:customStyle="1" w:styleId="WW8Num25z7">
    <w:name w:val="WW8Num25z7"/>
  </w:style>
  <w:style w:type="character" w:customStyle="1" w:styleId="WW8Num25z8">
    <w:name w:val="WW8Num25z8"/>
  </w:style>
  <w:style w:type="character" w:customStyle="1" w:styleId="WW8Num26z0">
    <w:name w:val="WW8Num26z0"/>
  </w:style>
  <w:style w:type="character" w:customStyle="1" w:styleId="WW8Num26z1">
    <w:name w:val="WW8Num26z1"/>
  </w:style>
  <w:style w:type="character" w:customStyle="1" w:styleId="WW8Num26z2">
    <w:name w:val="WW8Num26z2"/>
  </w:style>
  <w:style w:type="character" w:customStyle="1" w:styleId="WW8Num26z3">
    <w:name w:val="WW8Num26z3"/>
  </w:style>
  <w:style w:type="character" w:customStyle="1" w:styleId="WW8Num26z4">
    <w:name w:val="WW8Num26z4"/>
  </w:style>
  <w:style w:type="character" w:customStyle="1" w:styleId="WW8Num26z5">
    <w:name w:val="WW8Num26z5"/>
  </w:style>
  <w:style w:type="character" w:customStyle="1" w:styleId="WW8Num26z6">
    <w:name w:val="WW8Num26z6"/>
  </w:style>
  <w:style w:type="character" w:customStyle="1" w:styleId="WW8Num26z7">
    <w:name w:val="WW8Num26z7"/>
  </w:style>
  <w:style w:type="character" w:customStyle="1" w:styleId="WW8Num26z8">
    <w:name w:val="WW8Num26z8"/>
  </w:style>
  <w:style w:type="character" w:customStyle="1" w:styleId="WW8Num27z0">
    <w:name w:val="WW8Num27z0"/>
    <w:rPr>
      <w:rFonts w:hint="default"/>
    </w:rPr>
  </w:style>
  <w:style w:type="character" w:customStyle="1" w:styleId="WW8Num28z0">
    <w:name w:val="WW8Num28z0"/>
    <w:rPr>
      <w:rFonts w:ascii="Arial" w:hAnsi="Arial" w:cs="Arial" w:hint="default"/>
    </w:rPr>
  </w:style>
  <w:style w:type="character" w:customStyle="1" w:styleId="WW8Num28z1">
    <w:name w:val="WW8Num28z1"/>
    <w:rPr>
      <w:rFonts w:ascii="Courier New" w:hAnsi="Courier New" w:cs="Courier New" w:hint="default"/>
    </w:rPr>
  </w:style>
  <w:style w:type="character" w:customStyle="1" w:styleId="WW8Num28z2">
    <w:name w:val="WW8Num28z2"/>
    <w:rPr>
      <w:rFonts w:ascii="Wingdings" w:hAnsi="Wingdings" w:cs="Wingdings" w:hint="default"/>
    </w:rPr>
  </w:style>
  <w:style w:type="character" w:customStyle="1" w:styleId="WW8Num28z3">
    <w:name w:val="WW8Num28z3"/>
    <w:rPr>
      <w:rFonts w:ascii="Symbol" w:hAnsi="Symbol" w:cs="Symbol" w:hint="default"/>
    </w:rPr>
  </w:style>
  <w:style w:type="character" w:customStyle="1" w:styleId="WW8Num29z0">
    <w:name w:val="WW8Num29z0"/>
    <w:rPr>
      <w:rFonts w:hint="default"/>
    </w:rPr>
  </w:style>
  <w:style w:type="character" w:customStyle="1" w:styleId="WW8Num30z0">
    <w:name w:val="WW8Num30z0"/>
  </w:style>
  <w:style w:type="character" w:customStyle="1" w:styleId="WW8Num30z1">
    <w:name w:val="WW8Num30z1"/>
  </w:style>
  <w:style w:type="character" w:customStyle="1" w:styleId="WW8Num30z2">
    <w:name w:val="WW8Num30z2"/>
  </w:style>
  <w:style w:type="character" w:customStyle="1" w:styleId="WW8Num30z3">
    <w:name w:val="WW8Num30z3"/>
  </w:style>
  <w:style w:type="character" w:customStyle="1" w:styleId="WW8Num30z4">
    <w:name w:val="WW8Num30z4"/>
  </w:style>
  <w:style w:type="character" w:customStyle="1" w:styleId="WW8Num30z5">
    <w:name w:val="WW8Num30z5"/>
  </w:style>
  <w:style w:type="character" w:customStyle="1" w:styleId="WW8Num30z6">
    <w:name w:val="WW8Num30z6"/>
  </w:style>
  <w:style w:type="character" w:customStyle="1" w:styleId="WW8Num30z7">
    <w:name w:val="WW8Num30z7"/>
  </w:style>
  <w:style w:type="character" w:customStyle="1" w:styleId="WW8Num30z8">
    <w:name w:val="WW8Num30z8"/>
  </w:style>
  <w:style w:type="character" w:customStyle="1" w:styleId="WW8Num31z0">
    <w:name w:val="WW8Num31z0"/>
    <w:rPr>
      <w:rFonts w:hint="default"/>
    </w:rPr>
  </w:style>
  <w:style w:type="character" w:customStyle="1" w:styleId="WW8Num32z0">
    <w:name w:val="WW8Num32z0"/>
    <w:rPr>
      <w:rFonts w:hint="default"/>
      <w:b/>
    </w:rPr>
  </w:style>
  <w:style w:type="character" w:customStyle="1" w:styleId="WW8Num33z0">
    <w:name w:val="WW8Num33z0"/>
    <w:rPr>
      <w:rFonts w:hint="default"/>
    </w:rPr>
  </w:style>
  <w:style w:type="character" w:customStyle="1" w:styleId="WW8Num34z0">
    <w:name w:val="WW8Num34z0"/>
    <w:rPr>
      <w:rFonts w:hint="default"/>
    </w:rPr>
  </w:style>
  <w:style w:type="character" w:customStyle="1" w:styleId="WW8Num34z1">
    <w:name w:val="WW8Num34z1"/>
  </w:style>
  <w:style w:type="character" w:customStyle="1" w:styleId="WW8Num34z2">
    <w:name w:val="WW8Num34z2"/>
  </w:style>
  <w:style w:type="character" w:customStyle="1" w:styleId="WW8Num34z3">
    <w:name w:val="WW8Num34z3"/>
  </w:style>
  <w:style w:type="character" w:customStyle="1" w:styleId="WW8Num34z4">
    <w:name w:val="WW8Num34z4"/>
  </w:style>
  <w:style w:type="character" w:customStyle="1" w:styleId="WW8Num34z5">
    <w:name w:val="WW8Num34z5"/>
  </w:style>
  <w:style w:type="character" w:customStyle="1" w:styleId="WW8Num34z6">
    <w:name w:val="WW8Num34z6"/>
  </w:style>
  <w:style w:type="character" w:customStyle="1" w:styleId="WW8Num34z7">
    <w:name w:val="WW8Num34z7"/>
  </w:style>
  <w:style w:type="character" w:customStyle="1" w:styleId="WW8Num34z8">
    <w:name w:val="WW8Num34z8"/>
  </w:style>
  <w:style w:type="character" w:customStyle="1" w:styleId="WW8Num35z0">
    <w:name w:val="WW8Num35z0"/>
    <w:rPr>
      <w:rFonts w:ascii="Times New Roman" w:eastAsia="Times New Roman" w:hAnsi="Times New Roman" w:cs="Times New Roman" w:hint="default"/>
      <w:sz w:val="24"/>
      <w:szCs w:val="24"/>
    </w:rPr>
  </w:style>
  <w:style w:type="character" w:customStyle="1" w:styleId="WW8Num35z1">
    <w:name w:val="WW8Num35z1"/>
    <w:rPr>
      <w:rFonts w:ascii="Courier New" w:hAnsi="Courier New" w:cs="Courier New" w:hint="default"/>
    </w:rPr>
  </w:style>
  <w:style w:type="character" w:customStyle="1" w:styleId="WW8Num35z2">
    <w:name w:val="WW8Num35z2"/>
    <w:rPr>
      <w:rFonts w:ascii="Wingdings" w:hAnsi="Wingdings" w:cs="Wingdings" w:hint="default"/>
    </w:rPr>
  </w:style>
  <w:style w:type="character" w:customStyle="1" w:styleId="WW8Num35z3">
    <w:name w:val="WW8Num35z3"/>
    <w:rPr>
      <w:rFonts w:ascii="Symbol" w:hAnsi="Symbol" w:cs="Symbol" w:hint="default"/>
    </w:rPr>
  </w:style>
  <w:style w:type="character" w:customStyle="1" w:styleId="WW8Num36z0">
    <w:name w:val="WW8Num36z0"/>
    <w:rPr>
      <w:rFonts w:ascii="Times New Roman" w:hAnsi="Times New Roman" w:cs="Times New Roman" w:hint="default"/>
      <w:b/>
      <w:i w:val="0"/>
      <w:sz w:val="24"/>
      <w:u w:val="none"/>
    </w:rPr>
  </w:style>
  <w:style w:type="character" w:customStyle="1" w:styleId="WW8Num37z0">
    <w:name w:val="WW8Num37z0"/>
    <w:rPr>
      <w:rFonts w:hint="default"/>
    </w:rPr>
  </w:style>
  <w:style w:type="character" w:customStyle="1" w:styleId="WW8Num37z1">
    <w:name w:val="WW8Num37z1"/>
  </w:style>
  <w:style w:type="character" w:customStyle="1" w:styleId="WW8Num37z2">
    <w:name w:val="WW8Num37z2"/>
  </w:style>
  <w:style w:type="character" w:customStyle="1" w:styleId="WW8Num37z3">
    <w:name w:val="WW8Num37z3"/>
  </w:style>
  <w:style w:type="character" w:customStyle="1" w:styleId="WW8Num37z4">
    <w:name w:val="WW8Num37z4"/>
  </w:style>
  <w:style w:type="character" w:customStyle="1" w:styleId="WW8Num37z5">
    <w:name w:val="WW8Num37z5"/>
  </w:style>
  <w:style w:type="character" w:customStyle="1" w:styleId="WW8Num37z6">
    <w:name w:val="WW8Num37z6"/>
  </w:style>
  <w:style w:type="character" w:customStyle="1" w:styleId="WW8Num37z7">
    <w:name w:val="WW8Num37z7"/>
  </w:style>
  <w:style w:type="character" w:customStyle="1" w:styleId="WW8Num37z8">
    <w:name w:val="WW8Num37z8"/>
  </w:style>
  <w:style w:type="character" w:customStyle="1" w:styleId="WW8Num38z0">
    <w:name w:val="WW8Num38z0"/>
    <w:rPr>
      <w:rFonts w:hint="default"/>
    </w:rPr>
  </w:style>
  <w:style w:type="character" w:customStyle="1" w:styleId="WW8Num39z0">
    <w:name w:val="WW8Num39z0"/>
    <w:rPr>
      <w:rFonts w:hint="default"/>
      <w:b/>
    </w:rPr>
  </w:style>
  <w:style w:type="character" w:customStyle="1" w:styleId="WW8Num40z0">
    <w:name w:val="WW8Num40z0"/>
    <w:rPr>
      <w:rFonts w:hint="default"/>
    </w:rPr>
  </w:style>
  <w:style w:type="character" w:customStyle="1" w:styleId="WW8Num41z0">
    <w:name w:val="WW8Num41z0"/>
    <w:rPr>
      <w:rFonts w:hint="default"/>
    </w:rPr>
  </w:style>
  <w:style w:type="character" w:customStyle="1" w:styleId="WW8Num42z0">
    <w:name w:val="WW8Num42z0"/>
    <w:rPr>
      <w:rFonts w:ascii="Times New Roman" w:hAnsi="Times New Roman" w:cs="Times New Roman" w:hint="default"/>
      <w:b/>
      <w:i w:val="0"/>
      <w:sz w:val="24"/>
      <w:u w:val="none"/>
    </w:rPr>
  </w:style>
  <w:style w:type="character" w:customStyle="1" w:styleId="WW8Num43z0">
    <w:name w:val="WW8Num43z0"/>
    <w:rPr>
      <w:rFonts w:hint="default"/>
    </w:rPr>
  </w:style>
  <w:style w:type="character" w:customStyle="1" w:styleId="WW8Num44z0">
    <w:name w:val="WW8Num44z0"/>
    <w:rPr>
      <w:rFonts w:ascii="Arial" w:hAnsi="Arial" w:cs="Arial" w:hint="default"/>
    </w:rPr>
  </w:style>
  <w:style w:type="character" w:customStyle="1" w:styleId="WW8Num44z1">
    <w:name w:val="WW8Num44z1"/>
    <w:rPr>
      <w:rFonts w:ascii="Courier New" w:hAnsi="Courier New" w:cs="Courier New" w:hint="default"/>
    </w:rPr>
  </w:style>
  <w:style w:type="character" w:customStyle="1" w:styleId="WW8Num44z2">
    <w:name w:val="WW8Num44z2"/>
    <w:rPr>
      <w:rFonts w:ascii="Wingdings" w:hAnsi="Wingdings" w:cs="Wingdings" w:hint="default"/>
    </w:rPr>
  </w:style>
  <w:style w:type="character" w:customStyle="1" w:styleId="WW8Num44z3">
    <w:name w:val="WW8Num44z3"/>
    <w:rPr>
      <w:rFonts w:ascii="Symbol" w:hAnsi="Symbol" w:cs="Symbol" w:hint="default"/>
    </w:rPr>
  </w:style>
  <w:style w:type="character" w:customStyle="1" w:styleId="WW8Num45z0">
    <w:name w:val="WW8Num45z0"/>
    <w:rPr>
      <w:rFonts w:ascii="Times New Roman" w:hAnsi="Times New Roman" w:cs="Times New Roman" w:hint="default"/>
      <w:sz w:val="24"/>
      <w:szCs w:val="24"/>
    </w:rPr>
  </w:style>
  <w:style w:type="character" w:customStyle="1" w:styleId="WW8Num45z1">
    <w:name w:val="WW8Num45z1"/>
    <w:rPr>
      <w:rFonts w:ascii="Courier New" w:hAnsi="Courier New" w:cs="Courier New" w:hint="default"/>
    </w:rPr>
  </w:style>
  <w:style w:type="character" w:customStyle="1" w:styleId="WW8Num45z2">
    <w:name w:val="WW8Num45z2"/>
    <w:rPr>
      <w:rFonts w:ascii="Wingdings" w:hAnsi="Wingdings" w:cs="Wingdings" w:hint="default"/>
    </w:rPr>
  </w:style>
  <w:style w:type="character" w:customStyle="1" w:styleId="WW8Num45z3">
    <w:name w:val="WW8Num45z3"/>
    <w:rPr>
      <w:rFonts w:ascii="Symbol" w:hAnsi="Symbol" w:cs="Symbol" w:hint="default"/>
    </w:rPr>
  </w:style>
  <w:style w:type="character" w:customStyle="1" w:styleId="WW8Num46z0">
    <w:name w:val="WW8Num46z0"/>
    <w:rPr>
      <w:rFonts w:hint="default"/>
    </w:rPr>
  </w:style>
  <w:style w:type="character" w:customStyle="1" w:styleId="WW8Num46z1">
    <w:name w:val="WW8Num46z1"/>
    <w:rPr>
      <w:rFonts w:hint="default"/>
      <w:b/>
    </w:rPr>
  </w:style>
  <w:style w:type="character" w:customStyle="1" w:styleId="WW8Num47z0">
    <w:name w:val="WW8Num47z0"/>
    <w:rPr>
      <w:rFonts w:hint="default"/>
    </w:rPr>
  </w:style>
  <w:style w:type="character" w:customStyle="1" w:styleId="WW8Num48z0">
    <w:name w:val="WW8Num48z0"/>
    <w:rPr>
      <w:rFonts w:ascii="Times New Roman" w:eastAsia="Times New Roman" w:hAnsi="Times New Roman" w:cs="Times New Roman" w:hint="default"/>
    </w:rPr>
  </w:style>
  <w:style w:type="character" w:customStyle="1" w:styleId="WW8Num48z1">
    <w:name w:val="WW8Num48z1"/>
    <w:rPr>
      <w:rFonts w:ascii="Courier New" w:hAnsi="Courier New" w:cs="Courier New" w:hint="default"/>
    </w:rPr>
  </w:style>
  <w:style w:type="character" w:customStyle="1" w:styleId="WW8Num48z2">
    <w:name w:val="WW8Num48z2"/>
    <w:rPr>
      <w:rFonts w:ascii="Wingdings" w:hAnsi="Wingdings" w:cs="Wingdings" w:hint="default"/>
    </w:rPr>
  </w:style>
  <w:style w:type="character" w:customStyle="1" w:styleId="WW8Num48z3">
    <w:name w:val="WW8Num48z3"/>
    <w:rPr>
      <w:rFonts w:ascii="Symbol" w:hAnsi="Symbol" w:cs="Symbol" w:hint="default"/>
    </w:rPr>
  </w:style>
  <w:style w:type="character" w:customStyle="1" w:styleId="WW8Num49z0">
    <w:name w:val="WW8Num49z0"/>
    <w:rPr>
      <w:rFonts w:hint="default"/>
    </w:rPr>
  </w:style>
  <w:style w:type="character" w:customStyle="1" w:styleId="WW8Num50z0">
    <w:name w:val="WW8Num50z0"/>
    <w:rPr>
      <w:rFonts w:hint="default"/>
    </w:rPr>
  </w:style>
  <w:style w:type="character" w:customStyle="1" w:styleId="WW8Num51z0">
    <w:name w:val="WW8Num51z0"/>
    <w:rPr>
      <w:rFonts w:hint="default"/>
    </w:rPr>
  </w:style>
  <w:style w:type="character" w:customStyle="1" w:styleId="WW8Num52z0">
    <w:name w:val="WW8Num52z0"/>
    <w:rPr>
      <w:rFonts w:ascii="Times New Roman" w:eastAsia="Times New Roman" w:hAnsi="Times New Roman" w:cs="Times New Roman" w:hint="default"/>
    </w:rPr>
  </w:style>
  <w:style w:type="character" w:customStyle="1" w:styleId="WW8Num52z1">
    <w:name w:val="WW8Num52z1"/>
    <w:rPr>
      <w:rFonts w:ascii="Courier New" w:hAnsi="Courier New" w:cs="Courier New" w:hint="default"/>
    </w:rPr>
  </w:style>
  <w:style w:type="character" w:customStyle="1" w:styleId="WW8Num52z2">
    <w:name w:val="WW8Num52z2"/>
    <w:rPr>
      <w:rFonts w:ascii="Wingdings" w:hAnsi="Wingdings" w:cs="Wingdings" w:hint="default"/>
    </w:rPr>
  </w:style>
  <w:style w:type="character" w:customStyle="1" w:styleId="WW8Num52z3">
    <w:name w:val="WW8Num52z3"/>
    <w:rPr>
      <w:rFonts w:ascii="Symbol" w:hAnsi="Symbol" w:cs="Symbol" w:hint="default"/>
    </w:rPr>
  </w:style>
  <w:style w:type="character" w:customStyle="1" w:styleId="WW8Num53z0">
    <w:name w:val="WW8Num53z0"/>
    <w:rPr>
      <w:rFonts w:ascii="Wingdings" w:hAnsi="Wingdings" w:cs="Wingdings" w:hint="default"/>
    </w:rPr>
  </w:style>
  <w:style w:type="character" w:customStyle="1" w:styleId="WW8Num53z1">
    <w:name w:val="WW8Num53z1"/>
    <w:rPr>
      <w:rFonts w:ascii="Courier New" w:hAnsi="Courier New" w:cs="Courier New" w:hint="default"/>
    </w:rPr>
  </w:style>
  <w:style w:type="character" w:customStyle="1" w:styleId="WW8Num53z3">
    <w:name w:val="WW8Num53z3"/>
    <w:rPr>
      <w:rFonts w:ascii="Symbol" w:hAnsi="Symbol" w:cs="Symbol" w:hint="default"/>
    </w:rPr>
  </w:style>
  <w:style w:type="character" w:customStyle="1" w:styleId="WW8Num54z0">
    <w:name w:val="WW8Num54z0"/>
    <w:rPr>
      <w:rFonts w:ascii="Times New Roman" w:hAnsi="Times New Roman" w:cs="Times New Roman" w:hint="default"/>
      <w:b/>
      <w:i w:val="0"/>
      <w:sz w:val="24"/>
      <w:u w:val="none"/>
    </w:rPr>
  </w:style>
  <w:style w:type="character" w:customStyle="1" w:styleId="WW8Num55z0">
    <w:name w:val="WW8Num55z0"/>
    <w:rPr>
      <w:rFonts w:ascii="Arial" w:eastAsia="Times New Roman" w:hAnsi="Arial" w:cs="Arial" w:hint="default"/>
    </w:rPr>
  </w:style>
  <w:style w:type="character" w:customStyle="1" w:styleId="WW8Num55z1">
    <w:name w:val="WW8Num55z1"/>
    <w:rPr>
      <w:rFonts w:ascii="Courier New" w:hAnsi="Courier New" w:cs="Courier New" w:hint="default"/>
    </w:rPr>
  </w:style>
  <w:style w:type="character" w:customStyle="1" w:styleId="WW8Num55z2">
    <w:name w:val="WW8Num55z2"/>
    <w:rPr>
      <w:rFonts w:ascii="Wingdings" w:hAnsi="Wingdings" w:cs="Wingdings" w:hint="default"/>
    </w:rPr>
  </w:style>
  <w:style w:type="character" w:customStyle="1" w:styleId="WW8Num55z3">
    <w:name w:val="WW8Num55z3"/>
    <w:rPr>
      <w:rFonts w:ascii="Symbol" w:hAnsi="Symbol" w:cs="Symbol" w:hint="default"/>
    </w:rPr>
  </w:style>
  <w:style w:type="character" w:customStyle="1" w:styleId="WW8Num56z0">
    <w:name w:val="WW8Num56z0"/>
    <w:rPr>
      <w:rFonts w:ascii="Symbol" w:hAnsi="Symbol" w:cs="Symbol" w:hint="default"/>
    </w:rPr>
  </w:style>
  <w:style w:type="character" w:customStyle="1" w:styleId="WW8Num56z1">
    <w:name w:val="WW8Num56z1"/>
    <w:rPr>
      <w:rFonts w:ascii="Courier New" w:hAnsi="Courier New" w:cs="Courier New" w:hint="default"/>
    </w:rPr>
  </w:style>
  <w:style w:type="character" w:customStyle="1" w:styleId="WW8Num56z2">
    <w:name w:val="WW8Num56z2"/>
    <w:rPr>
      <w:rFonts w:ascii="Wingdings" w:hAnsi="Wingdings" w:cs="Wingdings" w:hint="default"/>
    </w:rPr>
  </w:style>
  <w:style w:type="character" w:customStyle="1" w:styleId="WW8Num57z0">
    <w:name w:val="WW8Num57z0"/>
    <w:rPr>
      <w:rFonts w:hint="default"/>
    </w:rPr>
  </w:style>
  <w:style w:type="character" w:customStyle="1" w:styleId="WW8Num58z0">
    <w:name w:val="WW8Num58z0"/>
  </w:style>
  <w:style w:type="character" w:customStyle="1" w:styleId="WW8Num59z0">
    <w:name w:val="WW8Num59z0"/>
    <w:rPr>
      <w:rFonts w:ascii="Times New Roman" w:eastAsia="Times New Roman" w:hAnsi="Times New Roman" w:cs="Times New Roman" w:hint="default"/>
      <w:sz w:val="24"/>
      <w:szCs w:val="24"/>
    </w:rPr>
  </w:style>
  <w:style w:type="character" w:customStyle="1" w:styleId="WW8Num59z1">
    <w:name w:val="WW8Num59z1"/>
    <w:rPr>
      <w:rFonts w:ascii="Courier New" w:hAnsi="Courier New" w:cs="Courier New" w:hint="default"/>
    </w:rPr>
  </w:style>
  <w:style w:type="character" w:customStyle="1" w:styleId="WW8Num59z2">
    <w:name w:val="WW8Num59z2"/>
    <w:rPr>
      <w:rFonts w:ascii="Wingdings" w:hAnsi="Wingdings" w:cs="Wingdings" w:hint="default"/>
    </w:rPr>
  </w:style>
  <w:style w:type="character" w:customStyle="1" w:styleId="WW8Num59z3">
    <w:name w:val="WW8Num59z3"/>
    <w:rPr>
      <w:rFonts w:ascii="Symbol" w:hAnsi="Symbol" w:cs="Symbol" w:hint="default"/>
    </w:rPr>
  </w:style>
  <w:style w:type="character" w:customStyle="1" w:styleId="WW8Num60z0">
    <w:name w:val="WW8Num60z0"/>
    <w:rPr>
      <w:rFonts w:ascii="Times New Roman" w:eastAsia="Times New Roman" w:hAnsi="Times New Roman" w:cs="Times New Roman" w:hint="default"/>
    </w:rPr>
  </w:style>
  <w:style w:type="character" w:customStyle="1" w:styleId="WW8Num60z1">
    <w:name w:val="WW8Num60z1"/>
  </w:style>
  <w:style w:type="character" w:customStyle="1" w:styleId="WW8Num60z2">
    <w:name w:val="WW8Num60z2"/>
    <w:rPr>
      <w:rFonts w:ascii="Wingdings" w:hAnsi="Wingdings" w:cs="Wingdings" w:hint="default"/>
    </w:rPr>
  </w:style>
  <w:style w:type="character" w:customStyle="1" w:styleId="WW8Num60z3">
    <w:name w:val="WW8Num60z3"/>
    <w:rPr>
      <w:rFonts w:ascii="Symbol" w:hAnsi="Symbol" w:cs="Symbol" w:hint="default"/>
    </w:rPr>
  </w:style>
  <w:style w:type="character" w:customStyle="1" w:styleId="WW8Num60z4">
    <w:name w:val="WW8Num60z4"/>
    <w:rPr>
      <w:rFonts w:ascii="Courier New" w:hAnsi="Courier New" w:cs="Courier New" w:hint="default"/>
    </w:rPr>
  </w:style>
  <w:style w:type="character" w:customStyle="1" w:styleId="WW8Num61z0">
    <w:name w:val="WW8Num61z0"/>
    <w:rPr>
      <w:rFonts w:hint="default"/>
    </w:rPr>
  </w:style>
  <w:style w:type="character" w:customStyle="1" w:styleId="WW8Num62z0">
    <w:name w:val="WW8Num62z0"/>
    <w:rPr>
      <w:rFonts w:hint="default"/>
    </w:rPr>
  </w:style>
  <w:style w:type="character" w:customStyle="1" w:styleId="WW8Num63z0">
    <w:name w:val="WW8Num63z0"/>
    <w:rPr>
      <w:rFonts w:hint="default"/>
    </w:rPr>
  </w:style>
  <w:style w:type="character" w:customStyle="1" w:styleId="WW8Num64z0">
    <w:name w:val="WW8Num64z0"/>
    <w:rPr>
      <w:rFonts w:hint="default"/>
      <w:b/>
    </w:rPr>
  </w:style>
  <w:style w:type="character" w:customStyle="1" w:styleId="WW8Num65z0">
    <w:name w:val="WW8Num65z0"/>
    <w:rPr>
      <w:rFonts w:hint="default"/>
    </w:rPr>
  </w:style>
  <w:style w:type="character" w:customStyle="1" w:styleId="WW8NumSt30z0">
    <w:name w:val="WW8NumSt30z0"/>
    <w:rPr>
      <w:rFonts w:ascii="Wingdings" w:hAnsi="Wingdings" w:cs="Wingdings" w:hint="default"/>
      <w:b w:val="0"/>
      <w:i w:val="0"/>
      <w:sz w:val="24"/>
      <w:u w:val="none"/>
    </w:rPr>
  </w:style>
  <w:style w:type="character" w:customStyle="1" w:styleId="Standardnpsmoodstavce1">
    <w:name w:val="Standardní písmo odstavce1"/>
  </w:style>
  <w:style w:type="character" w:styleId="Hypertextovodkaz">
    <w:name w:val="Hyperlink"/>
    <w:rPr>
      <w:color w:val="0000FF"/>
      <w:u w:val="single"/>
    </w:rPr>
  </w:style>
  <w:style w:type="character" w:styleId="Siln">
    <w:name w:val="Strong"/>
    <w:uiPriority w:val="22"/>
    <w:qFormat/>
    <w:rPr>
      <w:b/>
      <w:bCs/>
    </w:rPr>
  </w:style>
  <w:style w:type="character" w:styleId="slostrnky">
    <w:name w:val="page number"/>
    <w:basedOn w:val="Standardnpsmoodstavce1"/>
  </w:style>
  <w:style w:type="character" w:customStyle="1" w:styleId="Char1">
    <w:name w:val="Char1"/>
    <w:rPr>
      <w:rFonts w:ascii="Tahoma" w:hAnsi="Tahoma" w:cs="Tahoma"/>
      <w:sz w:val="16"/>
      <w:szCs w:val="16"/>
    </w:rPr>
  </w:style>
  <w:style w:type="character" w:customStyle="1" w:styleId="Odkaznakoment1">
    <w:name w:val="Odkaz na komentář1"/>
    <w:rPr>
      <w:sz w:val="16"/>
      <w:szCs w:val="16"/>
    </w:rPr>
  </w:style>
  <w:style w:type="character" w:customStyle="1" w:styleId="Char2">
    <w:name w:val="Char2"/>
    <w:basedOn w:val="Standardnpsmoodstavce1"/>
  </w:style>
  <w:style w:type="character" w:customStyle="1" w:styleId="Char">
    <w:name w:val="Char"/>
    <w:rPr>
      <w:b/>
      <w:bCs/>
    </w:rPr>
  </w:style>
  <w:style w:type="character" w:customStyle="1" w:styleId="ZpatChar">
    <w:name w:val="Zápatí Char"/>
    <w:basedOn w:val="Standardnpsmoodstavce2"/>
    <w:uiPriority w:val="99"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Zkladntext">
    <w:name w:val="Body Text"/>
    <w:basedOn w:val="Normln"/>
    <w:pPr>
      <w:jc w:val="both"/>
    </w:pPr>
    <w:rPr>
      <w:rFonts w:ascii="Arial" w:hAnsi="Arial" w:cs="Arial"/>
      <w:sz w:val="22"/>
    </w:rPr>
  </w:style>
  <w:style w:type="paragraph" w:styleId="Seznam">
    <w:name w:val="List"/>
    <w:basedOn w:val="Zkladntext"/>
    <w:rPr>
      <w:rFonts w:cs="Mangal"/>
    </w:rPr>
  </w:style>
  <w:style w:type="paragraph" w:customStyle="1" w:styleId="Popisek">
    <w:name w:val="Popisek"/>
    <w:basedOn w:val="Normln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Rejstk">
    <w:name w:val="Rejstřík"/>
    <w:basedOn w:val="Normln"/>
    <w:pPr>
      <w:suppressLineNumbers/>
    </w:pPr>
    <w:rPr>
      <w:rFonts w:cs="Mangal"/>
    </w:rPr>
  </w:style>
  <w:style w:type="paragraph" w:customStyle="1" w:styleId="Zkrcenzptenadresa">
    <w:name w:val="Zkrácená zpáteční adresa"/>
    <w:basedOn w:val="Normln"/>
    <w:rPr>
      <w:sz w:val="24"/>
    </w:rPr>
  </w:style>
  <w:style w:type="paragraph" w:customStyle="1" w:styleId="Textvbloku1">
    <w:name w:val="Text v bloku1"/>
    <w:basedOn w:val="Normln"/>
    <w:pPr>
      <w:ind w:left="426" w:right="50"/>
      <w:jc w:val="both"/>
    </w:pPr>
    <w:rPr>
      <w:sz w:val="44"/>
    </w:rPr>
  </w:style>
  <w:style w:type="paragraph" w:styleId="Zkladntextodsazen">
    <w:name w:val="Body Text Indent"/>
    <w:basedOn w:val="Normln"/>
    <w:pPr>
      <w:tabs>
        <w:tab w:val="left" w:pos="2835"/>
      </w:tabs>
      <w:ind w:left="2832"/>
    </w:pPr>
    <w:rPr>
      <w:sz w:val="24"/>
    </w:rPr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uiPriority w:val="99"/>
    <w:pPr>
      <w:tabs>
        <w:tab w:val="center" w:pos="4536"/>
        <w:tab w:val="right" w:pos="9072"/>
      </w:tabs>
    </w:pPr>
  </w:style>
  <w:style w:type="paragraph" w:styleId="Textpoznpodarou">
    <w:name w:val="footnote text"/>
    <w:basedOn w:val="Normln"/>
    <w:pPr>
      <w:spacing w:line="360" w:lineRule="auto"/>
      <w:jc w:val="both"/>
    </w:pPr>
    <w:rPr>
      <w:rFonts w:ascii="Arial Narrow" w:hAnsi="Arial Narrow" w:cs="Arial Narrow"/>
      <w:sz w:val="22"/>
    </w:rPr>
  </w:style>
  <w:style w:type="paragraph" w:customStyle="1" w:styleId="Zkladntext21">
    <w:name w:val="Základní text 21"/>
    <w:basedOn w:val="Normln"/>
    <w:pPr>
      <w:jc w:val="both"/>
    </w:pPr>
    <w:rPr>
      <w:sz w:val="24"/>
    </w:rPr>
  </w:style>
  <w:style w:type="paragraph" w:customStyle="1" w:styleId="Textkomente1">
    <w:name w:val="Text komentáře1"/>
    <w:basedOn w:val="Normln"/>
  </w:style>
  <w:style w:type="paragraph" w:customStyle="1" w:styleId="Zkladntext31">
    <w:name w:val="Základní text 31"/>
    <w:basedOn w:val="Normln"/>
    <w:pPr>
      <w:spacing w:after="120"/>
    </w:pPr>
    <w:rPr>
      <w:sz w:val="16"/>
      <w:szCs w:val="16"/>
    </w:rPr>
  </w:style>
  <w:style w:type="paragraph" w:customStyle="1" w:styleId="Zkladntextodsazen21">
    <w:name w:val="Základní text odsazený 21"/>
    <w:basedOn w:val="Normln"/>
    <w:pPr>
      <w:spacing w:after="120" w:line="480" w:lineRule="auto"/>
      <w:ind w:left="283"/>
    </w:pPr>
  </w:style>
  <w:style w:type="paragraph" w:customStyle="1" w:styleId="Normal">
    <w:name w:val="[Normal]"/>
    <w:pPr>
      <w:suppressAutoHyphens/>
      <w:autoSpaceDE w:val="0"/>
    </w:pPr>
    <w:rPr>
      <w:rFonts w:ascii="Arial" w:hAnsi="Arial" w:cs="Arial"/>
      <w:sz w:val="24"/>
      <w:szCs w:val="24"/>
      <w:lang w:eastAsia="ar-SA"/>
    </w:rPr>
  </w:style>
  <w:style w:type="paragraph" w:styleId="Textbubliny">
    <w:name w:val="Balloon Text"/>
    <w:basedOn w:val="Normln"/>
    <w:rPr>
      <w:rFonts w:ascii="Tahoma" w:hAnsi="Tahoma" w:cs="Tahoma"/>
      <w:sz w:val="16"/>
      <w:szCs w:val="16"/>
    </w:rPr>
  </w:style>
  <w:style w:type="paragraph" w:customStyle="1" w:styleId="Parlament">
    <w:name w:val="Parlament"/>
    <w:basedOn w:val="Normln"/>
    <w:next w:val="Normln"/>
    <w:pPr>
      <w:keepNext/>
      <w:keepLines/>
      <w:spacing w:before="360" w:after="240"/>
      <w:jc w:val="both"/>
    </w:pPr>
    <w:rPr>
      <w:sz w:val="24"/>
    </w:rPr>
  </w:style>
  <w:style w:type="paragraph" w:customStyle="1" w:styleId="Default">
    <w:name w:val="Default"/>
    <w:pPr>
      <w:widowControl w:val="0"/>
      <w:suppressAutoHyphens/>
      <w:autoSpaceDE w:val="0"/>
    </w:pPr>
    <w:rPr>
      <w:rFonts w:ascii="EU Albertina" w:hAnsi="EU Albertina" w:cs="EU Albertina"/>
      <w:color w:val="000000"/>
      <w:sz w:val="24"/>
      <w:lang w:eastAsia="ar-SA"/>
    </w:rPr>
  </w:style>
  <w:style w:type="paragraph" w:styleId="Pedmtkomente">
    <w:name w:val="annotation subject"/>
    <w:basedOn w:val="Textkomente1"/>
    <w:next w:val="Textkomente1"/>
    <w:rPr>
      <w:b/>
      <w:bCs/>
    </w:rPr>
  </w:style>
  <w:style w:type="paragraph" w:customStyle="1" w:styleId="normalodsazene">
    <w:name w:val="normalodsazene"/>
    <w:basedOn w:val="Normln"/>
    <w:pPr>
      <w:spacing w:before="100" w:after="100"/>
    </w:pPr>
    <w:rPr>
      <w:szCs w:val="24"/>
    </w:r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paragraph" w:customStyle="1" w:styleId="CharCharChar1CharCharCharCharCharChar">
    <w:name w:val="Char Char Char1 Char Char Char Char Char Char"/>
    <w:basedOn w:val="Normln"/>
    <w:rsid w:val="004B51D1"/>
    <w:pPr>
      <w:spacing w:after="160" w:line="240" w:lineRule="exact"/>
      <w:jc w:val="both"/>
    </w:pPr>
    <w:rPr>
      <w:rFonts w:ascii="Times New Roman Bold" w:hAnsi="Times New Roman Bold" w:cs="Times New Roman Bold"/>
      <w:sz w:val="22"/>
      <w:szCs w:val="26"/>
      <w:lang w:val="sk-SK"/>
    </w:rPr>
  </w:style>
  <w:style w:type="paragraph" w:styleId="Odstavecseseznamem">
    <w:name w:val="List Paragraph"/>
    <w:basedOn w:val="Normln"/>
    <w:uiPriority w:val="34"/>
    <w:qFormat/>
    <w:rsid w:val="00006D1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5642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431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007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0838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0680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334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42299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4</Pages>
  <Words>650</Words>
  <Characters>3837</Characters>
  <Application>Microsoft Office Word</Application>
  <DocSecurity>0</DocSecurity>
  <Lines>31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Výzva k podání nabídky a k prokázání splnění kvalifikace ve zjednodušeném podlimitním řízení dle ust</vt:lpstr>
    </vt:vector>
  </TitlesOfParts>
  <Company/>
  <LinksUpToDate>false</LinksUpToDate>
  <CharactersWithSpaces>4479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Výzva k podání nabídky a k prokázání splnění kvalifikace ve zjednodušeném podlimitním řízení dle ust</dc:title>
  <dc:subject/>
  <dc:creator>Kateřina Lhotská</dc:creator>
  <cp:keywords/>
  <cp:lastModifiedBy>Jitka Vágnerová</cp:lastModifiedBy>
  <cp:revision>6</cp:revision>
  <cp:lastPrinted>2017-03-13T15:57:00Z</cp:lastPrinted>
  <dcterms:created xsi:type="dcterms:W3CDTF">2017-03-02T15:12:00Z</dcterms:created>
  <dcterms:modified xsi:type="dcterms:W3CDTF">2017-03-13T18:55:00Z</dcterms:modified>
</cp:coreProperties>
</file>