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widowControl w:val="0"/>
        <w:rPr>
          <w:rFonts w:eastAsia="Verdana"/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D. Dokumentace objektů a technických a technologických zařízení</w:t>
      </w:r>
      <w:r>
        <w:rPr>
          <w:b/>
          <w:bCs/>
          <w:sz w:val="28"/>
          <w:szCs w:val="28"/>
        </w:rPr>
        <w:t xml:space="preserve"> </w:t>
      </w:r>
    </w:p>
    <w:p>
      <w:pPr>
        <w:widowControl w:val="0"/>
        <w:rPr>
          <w:b/>
          <w:bCs/>
          <w:sz w:val="28"/>
          <w:szCs w:val="28"/>
        </w:rPr>
      </w:pPr>
      <w:r>
        <w:rPr>
          <w:rFonts w:eastAsia="Verdana"/>
          <w:b/>
          <w:bCs/>
        </w:rPr>
        <w:t xml:space="preserve"> </w:t>
      </w:r>
    </w:p>
    <w:p>
      <w:pPr>
        <w:widowControl w:val="0"/>
        <w:jc w:val="both"/>
        <w:rPr>
          <w:b/>
          <w:bCs/>
          <w:sz w:val="24"/>
        </w:rPr>
      </w:pPr>
      <w:r>
        <w:rPr>
          <w:b/>
          <w:bCs/>
          <w:sz w:val="24"/>
        </w:rPr>
        <w:t>D.1 Dokumentace stavebního nebo inženýrského objektu</w:t>
      </w:r>
    </w:p>
    <w:p>
      <w:pPr>
        <w:widowControl w:val="0"/>
        <w:rPr>
          <w:b/>
          <w:bCs/>
          <w:sz w:val="28"/>
          <w:szCs w:val="28"/>
        </w:rPr>
      </w:pPr>
    </w:p>
    <w:p>
      <w:pPr>
        <w:widowControl w:val="0"/>
        <w:rPr>
          <w:sz w:val="24"/>
        </w:rPr>
      </w:pPr>
      <w:r>
        <w:rPr>
          <w:b/>
          <w:color w:val="666666"/>
          <w:sz w:val="24"/>
        </w:rPr>
        <w:t>D.1.1 Architektonicko-stavební řešení</w:t>
      </w:r>
    </w:p>
    <w:p>
      <w:pPr>
        <w:widowControl w:val="0"/>
      </w:pPr>
    </w:p>
    <w:p>
      <w:pPr>
        <w:widowControl w:val="0"/>
        <w:numPr>
          <w:ilvl w:val="0"/>
          <w:numId w:val="5"/>
        </w:numPr>
        <w:rPr>
          <w:b/>
          <w:bCs/>
          <w:iCs/>
          <w:sz w:val="24"/>
        </w:rPr>
      </w:pPr>
      <w:r>
        <w:rPr>
          <w:b/>
          <w:bCs/>
          <w:iCs/>
          <w:sz w:val="24"/>
        </w:rPr>
        <w:t>Technická zpráva</w:t>
      </w:r>
    </w:p>
    <w:p>
      <w:pPr>
        <w:widowControl w:val="0"/>
        <w:rPr>
          <w:b/>
          <w:bCs/>
          <w:iCs/>
          <w:sz w:val="24"/>
        </w:rPr>
      </w:pPr>
    </w:p>
    <w:p>
      <w:pPr>
        <w:widowControl w:val="0"/>
        <w:rPr>
          <w:szCs w:val="21"/>
        </w:rPr>
      </w:pPr>
      <w:r>
        <w:rPr>
          <w:b/>
          <w:bCs/>
          <w:iCs/>
          <w:sz w:val="24"/>
        </w:rPr>
        <w:t xml:space="preserve">Architektonické a výtvarné řešení </w:t>
      </w:r>
    </w:p>
    <w:p>
      <w:pPr>
        <w:pStyle w:val="Default"/>
      </w:pPr>
      <w:r>
        <w:rPr>
          <w:rFonts w:ascii="Verdana" w:hAnsi="Verdana" w:cs="Verdana"/>
          <w:sz w:val="21"/>
          <w:szCs w:val="21"/>
        </w:rPr>
        <w:t>Architektonické a výtvarné řešení stávajícího objektu zůstává neměnné.</w:t>
      </w:r>
    </w:p>
    <w:p>
      <w:pPr>
        <w:widowControl w:val="0"/>
      </w:pPr>
    </w:p>
    <w:p>
      <w:pPr>
        <w:widowControl w:val="0"/>
      </w:pPr>
      <w:r>
        <w:rPr>
          <w:b/>
          <w:bCs/>
          <w:iCs/>
          <w:sz w:val="24"/>
        </w:rPr>
        <w:t xml:space="preserve">Materiálové a konstrukční řešení </w:t>
      </w:r>
    </w:p>
    <w:p>
      <w:pPr>
        <w:jc w:val="both"/>
      </w:pPr>
      <w:r>
        <w:t>Použité materiály budou navazovat na původní řešení. Povrchy budou obnoveny nebo nahrazeny podobnými materiály.</w:t>
      </w:r>
    </w:p>
    <w:p>
      <w:pPr>
        <w:widowControl w:val="0"/>
      </w:pPr>
    </w:p>
    <w:p>
      <w:pPr>
        <w:widowControl w:val="0"/>
      </w:pPr>
      <w:r>
        <w:rPr>
          <w:b/>
          <w:bCs/>
          <w:iCs/>
          <w:sz w:val="24"/>
        </w:rPr>
        <w:t xml:space="preserve">Dispoziční a provozní řešení </w:t>
      </w:r>
    </w:p>
    <w:p>
      <w:pPr>
        <w:jc w:val="both"/>
      </w:pPr>
      <w:r>
        <w:t>Byt se nachází ve 2. NP. Hlavní vstup do objektu je z ulice Křídlovická.</w:t>
      </w:r>
    </w:p>
    <w:p>
      <w:pPr>
        <w:shd w:val="clear" w:color="auto" w:fill="FFFFFF"/>
        <w:tabs>
          <w:tab w:val="left" w:pos="5355"/>
        </w:tabs>
        <w:jc w:val="both"/>
      </w:pPr>
      <w:r>
        <w:tab/>
      </w:r>
    </w:p>
    <w:p>
      <w:pPr>
        <w:jc w:val="both"/>
      </w:pPr>
      <w:r>
        <w:t>Do stávajícího bytu se vstupuje z chodby domu. Za vchodovými dveřmi se nachází chodba, z které je přístup do koupelny, WC, kuchyně a do pokojů 2.03 a 2.04. Pokoj 2.04 je přístupný i přes kuchyň. Z pokoje 2.03 je přístup do lodžie.</w:t>
      </w:r>
    </w:p>
    <w:p>
      <w:pPr>
        <w:jc w:val="both"/>
      </w:pPr>
      <w:bookmarkStart w:id="0" w:name="_GoBack"/>
      <w:bookmarkEnd w:id="0"/>
    </w:p>
    <w:p>
      <w:pPr>
        <w:jc w:val="both"/>
      </w:pPr>
      <w:r>
        <w:t>Stávající dispozice bytu bude měněna.</w:t>
      </w:r>
    </w:p>
    <w:p>
      <w:pPr>
        <w:tabs>
          <w:tab w:val="left" w:pos="4500"/>
        </w:tabs>
        <w:jc w:val="both"/>
      </w:pPr>
    </w:p>
    <w:p>
      <w:pPr>
        <w:widowControl w:val="0"/>
      </w:pPr>
      <w:r>
        <w:rPr>
          <w:b/>
          <w:bCs/>
          <w:iCs/>
          <w:sz w:val="24"/>
        </w:rPr>
        <w:t>Stavebně-technické řešení a vlastnosti stavby, stavební fyzika</w:t>
      </w:r>
    </w:p>
    <w:p>
      <w:pPr>
        <w:jc w:val="both"/>
      </w:pPr>
      <w:r>
        <w:t>Dané řešení oprav bytu odpovídá účelu a využití objektu. Bytová jednotka bude nadále využívána k trvalému bydlení.</w:t>
      </w:r>
    </w:p>
    <w:p>
      <w:pPr>
        <w:jc w:val="both"/>
      </w:pPr>
    </w:p>
    <w:p>
      <w:pPr>
        <w:widowControl w:val="0"/>
      </w:pPr>
      <w:r>
        <w:rPr>
          <w:b/>
          <w:bCs/>
          <w:iCs/>
          <w:sz w:val="24"/>
        </w:rPr>
        <w:t>Osvětlení, oslunění</w:t>
      </w:r>
    </w:p>
    <w:p>
      <w:pPr>
        <w:widowControl w:val="0"/>
        <w:jc w:val="both"/>
      </w:pPr>
      <w:r>
        <w:t>Přirozeně okny jsou osvětleny veškeré obytné místnosti. Stávající stav nebude měněn. Tedy nedojde ke zhoršení stávajícího stavu.</w:t>
      </w:r>
    </w:p>
    <w:p>
      <w:pPr>
        <w:jc w:val="both"/>
      </w:pPr>
    </w:p>
    <w:p>
      <w:pPr>
        <w:widowControl w:val="0"/>
        <w:jc w:val="center"/>
        <w:rPr>
          <w:b/>
        </w:rPr>
      </w:pPr>
      <w:r>
        <w:rPr>
          <w:b/>
          <w:bCs/>
          <w:iCs/>
          <w:sz w:val="24"/>
          <w:u w:val="single"/>
        </w:rPr>
        <w:t>Konstrukční a stavebně technické řešení a technické vlastnosti</w:t>
      </w:r>
    </w:p>
    <w:p>
      <w:pPr>
        <w:widowControl w:val="0"/>
        <w:rPr>
          <w:b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Konstrukce svislé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r>
        <w:rPr>
          <w:u w:val="single"/>
        </w:rPr>
        <w:t>Nosné stěny:</w:t>
      </w:r>
      <w:r>
        <w:rPr>
          <w:b/>
        </w:rPr>
        <w:t xml:space="preserve"> </w:t>
      </w:r>
    </w:p>
    <w:p>
      <w:pPr>
        <w:jc w:val="both"/>
      </w:pPr>
      <w:r>
        <w:t xml:space="preserve">Stávající nosný systém a nosné konstrukce nebudou dotčeny opravami bytu. </w:t>
      </w:r>
    </w:p>
    <w:p>
      <w:pPr>
        <w:jc w:val="both"/>
      </w:pPr>
      <w:r>
        <w:t xml:space="preserve">Po zahájení stavebních prací budou provedeny sondy v nosných konstrukcích a bude přizván statik, který odsouhlasí navržené řešení zápisem do stavebního deníku. </w:t>
      </w:r>
    </w:p>
    <w:p/>
    <w:p>
      <w:r>
        <w:rPr>
          <w:u w:val="single"/>
        </w:rPr>
        <w:t>Příčky:</w:t>
      </w:r>
    </w:p>
    <w:p>
      <w:pPr>
        <w:jc w:val="both"/>
      </w:pPr>
      <w:r>
        <w:t xml:space="preserve">Vyzdívky jsou buď zděné z pórobetonových tvárnic. Stávající umakartové jádro bude vybouráno a bude nahrazeno příčkami z pórobetonových tvárnic </w:t>
      </w:r>
      <w:proofErr w:type="spellStart"/>
      <w:r>
        <w:t>tl</w:t>
      </w:r>
      <w:proofErr w:type="spellEnd"/>
      <w:r>
        <w:t>. 75 a 100mm.</w:t>
      </w:r>
    </w:p>
    <w:p>
      <w:pPr>
        <w:jc w:val="both"/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Konstrukce vodorovné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rPr>
          <w:color w:val="000000"/>
        </w:rPr>
      </w:pPr>
      <w:r>
        <w:rPr>
          <w:u w:val="single"/>
        </w:rPr>
        <w:t xml:space="preserve">Stropní konstrukce: </w:t>
      </w:r>
    </w:p>
    <w:p>
      <w:pPr>
        <w:jc w:val="both"/>
        <w:rPr>
          <w:u w:val="single"/>
        </w:rPr>
      </w:pPr>
      <w:r>
        <w:rPr>
          <w:color w:val="000000"/>
        </w:rPr>
        <w:t>Stávající stropní konstrukce stropů nebudou měněny ani do nich nebude zasahováno.</w:t>
      </w:r>
    </w:p>
    <w:p>
      <w:pPr>
        <w:rPr>
          <w:u w:val="single"/>
        </w:rPr>
      </w:pPr>
    </w:p>
    <w:p>
      <w:pPr>
        <w:widowControl w:val="0"/>
        <w:rPr>
          <w:b/>
          <w:i/>
          <w:color w:val="008000"/>
          <w:sz w:val="12"/>
          <w:szCs w:val="12"/>
        </w:rPr>
      </w:pPr>
      <w:r>
        <w:rPr>
          <w:b/>
          <w:bCs/>
          <w:iCs/>
          <w:sz w:val="24"/>
        </w:rPr>
        <w:lastRenderedPageBreak/>
        <w:t>Podhledy</w:t>
      </w:r>
    </w:p>
    <w:p>
      <w:pPr>
        <w:widowControl w:val="0"/>
        <w:rPr>
          <w:b/>
          <w:i/>
          <w:color w:val="008000"/>
          <w:sz w:val="12"/>
          <w:szCs w:val="12"/>
        </w:rPr>
      </w:pPr>
    </w:p>
    <w:p>
      <w:pPr>
        <w:widowControl w:val="0"/>
        <w:jc w:val="both"/>
        <w:rPr>
          <w:b/>
          <w:color w:val="666666"/>
          <w:sz w:val="24"/>
        </w:rPr>
      </w:pPr>
      <w:r>
        <w:t>Podhledy nebudou prováděny. Omítka stropů bude zapravena po řemeslech a opatřena novou malbou.</w:t>
      </w:r>
    </w:p>
    <w:p>
      <w:pPr>
        <w:rPr>
          <w:b/>
          <w:color w:val="666666"/>
          <w:sz w:val="24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Úpravy povrchů vnitřní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r>
        <w:rPr>
          <w:u w:val="single"/>
        </w:rPr>
        <w:t xml:space="preserve">Omítky: </w:t>
      </w:r>
    </w:p>
    <w:p>
      <w:pPr>
        <w:jc w:val="both"/>
      </w:pPr>
      <w:r>
        <w:t>V interiéru jsou pro stěny použity vápenocementové omítky, které budou lokálně opraveny max. 10% - zapraveny po řemeslech, odstranění malby, penetrační nátěr, opravy stěrkovým tmelem, nová malba v barevnosti dle výběru investora.</w:t>
      </w:r>
    </w:p>
    <w:p>
      <w:pPr>
        <w:jc w:val="both"/>
      </w:pPr>
    </w:p>
    <w:p>
      <w:r>
        <w:rPr>
          <w:i/>
        </w:rPr>
        <w:t>Místnost č. 2.05, 2.06</w:t>
      </w:r>
    </w:p>
    <w:p>
      <w:pPr>
        <w:jc w:val="both"/>
      </w:pPr>
      <w:r>
        <w:t>Bude provedeno nové omítkové souvrství. V místě umístění obkladů nebude prováděn finální štuk.</w:t>
      </w:r>
    </w:p>
    <w:p>
      <w:pPr>
        <w:ind w:firstLine="708"/>
      </w:pPr>
    </w:p>
    <w:p>
      <w:pPr>
        <w:suppressAutoHyphens w:val="0"/>
        <w:jc w:val="both"/>
      </w:pPr>
      <w:r>
        <w:t>Při zpracování a vytvrzování omítek nesmí teplota okolí nebo podkladu poklesnout pod +5°C a nad +30°C.</w:t>
      </w:r>
    </w:p>
    <w:p>
      <w:pPr>
        <w:jc w:val="both"/>
      </w:pPr>
      <w:r>
        <w:t>Při aplikaci vápenocementové omítky a následném tvrdnutí materiálu minimálně tři dny, chránit před mrazem. Před zpracováním omítky musí být osazeny veškeré použité omítkové lišty. V oblasti kde budou lepeny obklady, povrch omítky „</w:t>
      </w:r>
      <w:proofErr w:type="spellStart"/>
      <w:r>
        <w:t>nefilcovat</w:t>
      </w:r>
      <w:proofErr w:type="spellEnd"/>
      <w:r>
        <w:t>“, ale pouze zdrsnit mřížovou škrabkou.</w:t>
      </w:r>
    </w:p>
    <w:p/>
    <w:p>
      <w:r>
        <w:rPr>
          <w:u w:val="single"/>
        </w:rPr>
        <w:t xml:space="preserve">Malby, tapety, textilie, zbytky nábytku a vybavení bytu……: </w:t>
      </w:r>
    </w:p>
    <w:p>
      <w:pPr>
        <w:jc w:val="both"/>
      </w:pPr>
      <w:r>
        <w:t>Hlubší otvory a díry po hmoždinkách, skobách apod. budou vytmeleny. Po provedení nových omítek budou povrchy stěn opatřeny penetrací a bílým, otěruvzdorným nátěrem (vodou ředitelným) ve dvou vrstvách.</w:t>
      </w:r>
    </w:p>
    <w:p/>
    <w:p>
      <w:pPr>
        <w:rPr>
          <w:u w:val="single"/>
        </w:rPr>
      </w:pPr>
      <w:r>
        <w:rPr>
          <w:u w:val="single"/>
        </w:rPr>
        <w:t xml:space="preserve">Obklady: </w:t>
      </w:r>
    </w:p>
    <w:p>
      <w:r>
        <w:t>Stávající obklady v kuchyňském koutu a v koupelně budou odstraněny (včetně omítek – 100%).</w:t>
      </w:r>
    </w:p>
    <w:p>
      <w:pPr>
        <w:jc w:val="both"/>
      </w:pPr>
      <w:r>
        <w:t>Jsou navrženy nové keramické obklady v koupelně, WC a za kuchyňskou linkou ve standardním provedení (pro potřeby nacenění o rozměru 20cmx40cm), v koupelně do výšky 2,1 m a na WC do výšky 1,6m. V kuchyňském koutu pruh o šířce 0,6m, výška od podlahy u obkladů do kuchyně se předpokládá 0,9m. Půdorysné umístění obkladů je naznačeno ve výkresové dokumentaci.</w:t>
      </w:r>
    </w:p>
    <w:p>
      <w:pPr>
        <w:jc w:val="both"/>
      </w:pPr>
      <w:r>
        <w:t>V koupelně bude pod obklady do výšky 10cm od podlahy nanesen hydroizolační nátěr (systémová stěrka, obvykle prováděná ve 2 vrstvách), ve sprchovém koutu pak po celé výšce obkladů. Před nanesením hydroizolačního nátěru bude připraven podklad dle doporučení výrobce nátěru – obvykle očištěním a nanesením doporučené penetrace. Dále je nutné použít hydroizolační těsnící pásky na rohy sprchového koutu a podlahy. Je nutné použít nátěr i pásky od stejného výrobce (jednotný systém) a postupovat při aplikaci dle doporučení výrobce.</w:t>
      </w:r>
    </w:p>
    <w:p>
      <w:pPr>
        <w:widowControl w:val="0"/>
        <w:jc w:val="both"/>
      </w:pPr>
      <w:r>
        <w:t>Výběr obkladů a způsob kladení budou upřesněny po dohodě s investorem při zahájení stavby. Dodavatel musí před lepením obkladů předložit návrh vzorků k výběru a dohodnout se na zakládací spáře obkladů.</w:t>
      </w:r>
    </w:p>
    <w:p>
      <w:pPr>
        <w:widowControl w:val="0"/>
        <w:jc w:val="both"/>
      </w:pPr>
      <w:r>
        <w:t>Keramické obklady budou dodavatelem oceněny v takové cenové relaci, aby byl schopen nabídnout výběr alespoň z 10-ti různých vzorků. Obklady budou obdélníkového tvaru.</w:t>
      </w:r>
    </w:p>
    <w:p>
      <w:pPr>
        <w:widowControl w:val="0"/>
        <w:jc w:val="both"/>
      </w:pPr>
      <w:r>
        <w:t>Spárovací hmota bude ve středním odstínu, barevné provedení schválí objednatel. V rozích bude použit sanitární silikon v barevném provedení odpovídajícím spárovací hmotě.</w:t>
      </w:r>
    </w:p>
    <w:p>
      <w:pPr>
        <w:widowControl w:val="0"/>
        <w:jc w:val="both"/>
        <w:rPr>
          <w:b/>
          <w:bCs/>
          <w:iCs/>
          <w:sz w:val="24"/>
        </w:rPr>
      </w:pPr>
      <w:r>
        <w:t xml:space="preserve">Veškeré ukončení obkladů a přechody na omítky budou zapraveny štukem </w:t>
      </w:r>
      <w:r>
        <w:lastRenderedPageBreak/>
        <w:t>(„</w:t>
      </w:r>
      <w:proofErr w:type="spellStart"/>
      <w:r>
        <w:t>zapesrovány</w:t>
      </w:r>
      <w:proofErr w:type="spellEnd"/>
      <w:r>
        <w:t>“).</w:t>
      </w:r>
    </w:p>
    <w:p>
      <w:pPr>
        <w:widowControl w:val="0"/>
        <w:rPr>
          <w:b/>
          <w:bCs/>
          <w:iCs/>
          <w:sz w:val="24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Podlahy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jc w:val="both"/>
      </w:pPr>
      <w:r>
        <w:t>Stávající nášlapné vrstvy budou z části odstraněny a z části zachovány. Podlahy s dlažbou budou odstraněny a provedeny v nové skladbě viz. Výkresová část.</w:t>
      </w:r>
    </w:p>
    <w:p>
      <w:pPr>
        <w:rPr>
          <w:u w:val="single"/>
        </w:rPr>
      </w:pPr>
    </w:p>
    <w:p>
      <w:pPr>
        <w:rPr>
          <w:u w:val="single"/>
        </w:rPr>
      </w:pPr>
      <w:r>
        <w:rPr>
          <w:u w:val="single"/>
        </w:rPr>
        <w:t xml:space="preserve">Nášlapná vrstva </w:t>
      </w:r>
    </w:p>
    <w:p>
      <w:pPr>
        <w:rPr>
          <w:u w:val="single"/>
        </w:rPr>
      </w:pPr>
    </w:p>
    <w:p>
      <w:pPr>
        <w:jc w:val="both"/>
      </w:pPr>
      <w:r>
        <w:t>Nášlapné vrstvy jsou voleny s ohledem na účel místnosti a přání investora. Jsou navrženy původní dřevěné parkety a keramické dlažby. Vzniklá mezera u stěn se zakryje odpovídajícím prvkem – MDF lišta nebo keramický obklad.</w:t>
      </w:r>
    </w:p>
    <w:p>
      <w:pPr>
        <w:jc w:val="both"/>
        <w:rPr>
          <w:color w:val="000000"/>
        </w:rPr>
      </w:pPr>
      <w:r>
        <w:t xml:space="preserve">Konkrétní typ a barevnost dané vrstvy se upřesní dle požadavků investora. Dodavatel předloží vzorky nebo vzorkovník pro danou cenovou relaci (dle ceny, kterou uvedl v nabídce), min. však 10 vzorků. </w:t>
      </w:r>
    </w:p>
    <w:p>
      <w:pPr>
        <w:jc w:val="both"/>
        <w:rPr>
          <w:color w:val="000000"/>
        </w:rPr>
      </w:pPr>
      <w:r>
        <w:rPr>
          <w:color w:val="000000"/>
        </w:rPr>
        <w:t>Přechody podlah mezi místnostmi musí být kryty prahy v barevném provedení, které odsouhlasí investor (popř. přechodovými lištami).</w:t>
      </w:r>
    </w:p>
    <w:p>
      <w:pPr>
        <w:ind w:firstLine="720"/>
        <w:jc w:val="both"/>
        <w:rPr>
          <w:i/>
          <w:iCs/>
        </w:rPr>
      </w:pPr>
    </w:p>
    <w:p>
      <w:pPr>
        <w:ind w:firstLine="720"/>
        <w:jc w:val="both"/>
      </w:pPr>
      <w:r>
        <w:rPr>
          <w:i/>
          <w:iCs/>
        </w:rPr>
        <w:t>Místnost č. 2.01, 2.02 – chodba, kuchyň</w:t>
      </w:r>
    </w:p>
    <w:p>
      <w:pPr>
        <w:jc w:val="both"/>
      </w:pPr>
      <w:r>
        <w:t xml:space="preserve">V místnosti bude odstraněno stávající PVC a podkladní vrstvy až na betonový podklad. V rozšířené části chodby budou odstraněny stávající parkety. Podklad bude opatřen penetračním nátěrem a samonivelační stěrkou, poté bude položena vrstva PVC. Budou osazeny MDF lišty v požadovaném odstínu.  </w:t>
      </w:r>
    </w:p>
    <w:p>
      <w:pPr>
        <w:ind w:firstLine="708"/>
        <w:jc w:val="both"/>
        <w:rPr>
          <w:i/>
          <w:iCs/>
        </w:rPr>
      </w:pPr>
    </w:p>
    <w:p>
      <w:pPr>
        <w:ind w:firstLine="708"/>
        <w:jc w:val="both"/>
      </w:pPr>
      <w:r>
        <w:rPr>
          <w:i/>
          <w:iCs/>
        </w:rPr>
        <w:t>Místnost č. 2.05, 2.06 – Koupelna, WC</w:t>
      </w:r>
    </w:p>
    <w:p>
      <w:pPr>
        <w:jc w:val="both"/>
        <w:rPr>
          <w:i/>
          <w:iCs/>
        </w:rPr>
      </w:pPr>
      <w:r>
        <w:t xml:space="preserve">V koupelně a WC bude položena dlažba 30cmx30cm (popř. 40x40) se zvýšeným stupněm otěruvzdornosti (stupeň PEI 2) a protiskluznosti - „B“. Odstín spárovací hmoty bude spíše tmavší barvy, aby vlivem znečištění nebyly patrné zásadní změny odstínu. </w:t>
      </w:r>
    </w:p>
    <w:p>
      <w:pPr>
        <w:jc w:val="both"/>
        <w:rPr>
          <w:i/>
          <w:iCs/>
        </w:rPr>
      </w:pPr>
    </w:p>
    <w:p>
      <w:pPr>
        <w:ind w:firstLine="720"/>
        <w:jc w:val="both"/>
      </w:pPr>
      <w:r>
        <w:rPr>
          <w:i/>
          <w:iCs/>
        </w:rPr>
        <w:t>Místnost č. 2.03, 2.04 – Pokoje</w:t>
      </w:r>
    </w:p>
    <w:p>
      <w:pPr>
        <w:autoSpaceDE w:val="0"/>
        <w:jc w:val="both"/>
      </w:pPr>
      <w:r>
        <w:rPr>
          <w:color w:val="000000"/>
        </w:rPr>
        <w:t xml:space="preserve">U stávajících parketových podlah bude provedena demontáž soklových dřevěných lišt. </w:t>
      </w:r>
      <w:r>
        <w:t>Stávající parketová podlaha bude opravena - vyměněna (max. 30%), celoplošně přebroušena (v několika krocích s různou zrnitostí brusného papíru), přetmelena (znovu jemně přebroušena) a na závěr přetřena bezbarvým ochranným lakem na parketové podlahy. Budou osazeny nové soklové lišty MDF.</w:t>
      </w:r>
    </w:p>
    <w:p>
      <w:pPr>
        <w:jc w:val="both"/>
        <w:rPr>
          <w:i/>
          <w:iCs/>
        </w:rPr>
      </w:pPr>
    </w:p>
    <w:p>
      <w:pPr>
        <w:jc w:val="both"/>
      </w:pPr>
      <w:r>
        <w:t>Dodavatel musí objednateli, nejpozději před pokládkou podlahy, předložit technické listy k použitým materiálům. Po dokončení prací předloží dodavatel návody na správnou údržbu všech dodaných nášlapných vrstev.</w:t>
      </w:r>
    </w:p>
    <w:p/>
    <w:p/>
    <w:p>
      <w:pPr>
        <w:widowControl w:val="0"/>
        <w:rPr>
          <w:color w:val="000000"/>
          <w:sz w:val="12"/>
          <w:szCs w:val="12"/>
        </w:rPr>
      </w:pPr>
      <w:r>
        <w:rPr>
          <w:b/>
          <w:bCs/>
          <w:iCs/>
          <w:sz w:val="24"/>
        </w:rPr>
        <w:t>Výplně otvorů</w:t>
      </w:r>
    </w:p>
    <w:p>
      <w:pPr>
        <w:rPr>
          <w:color w:val="000000"/>
          <w:sz w:val="12"/>
          <w:szCs w:val="12"/>
        </w:rPr>
      </w:pPr>
    </w:p>
    <w:p>
      <w:r>
        <w:rPr>
          <w:u w:val="single"/>
        </w:rPr>
        <w:t>Interiérové dveře</w:t>
      </w:r>
    </w:p>
    <w:p>
      <w:pPr>
        <w:jc w:val="both"/>
      </w:pPr>
      <w:r>
        <w:t xml:space="preserve">Původní interiérové budou vybourány a otvory zapraveny pro osazení nových obložkových zárubní, viz. výkresová část. </w:t>
      </w:r>
    </w:p>
    <w:p>
      <w:pPr>
        <w:jc w:val="both"/>
      </w:pPr>
      <w:r>
        <w:t xml:space="preserve">Budou dodány nové interiérové dveře. Dveře budou, hladké, plné, </w:t>
      </w:r>
      <w:proofErr w:type="spellStart"/>
      <w:r>
        <w:t>dutinkové</w:t>
      </w:r>
      <w:proofErr w:type="spellEnd"/>
      <w:r>
        <w:t>, v dekoru dub nebo buk. Dveřní křídla budou dodána včetně kování s dozickým zámkem.</w:t>
      </w:r>
    </w:p>
    <w:p>
      <w:pPr>
        <w:jc w:val="both"/>
        <w:rPr>
          <w:b/>
        </w:rPr>
      </w:pPr>
      <w:r>
        <w:t>Dveřní křídla budou plné (koupelna) nebo ze 2/3 prosklené. Dveře do koupelny budou osazeny kováním bez klíče s pojistkou.</w:t>
      </w:r>
    </w:p>
    <w:p>
      <w:pPr>
        <w:rPr>
          <w:b/>
        </w:rPr>
      </w:pPr>
    </w:p>
    <w:p>
      <w:pPr>
        <w:rPr>
          <w:u w:val="single"/>
        </w:rPr>
      </w:pPr>
      <w:r>
        <w:rPr>
          <w:u w:val="single"/>
        </w:rPr>
        <w:t>Hlavní vstupní dveře</w:t>
      </w:r>
    </w:p>
    <w:p>
      <w:pPr>
        <w:jc w:val="both"/>
      </w:pPr>
      <w:r>
        <w:lastRenderedPageBreak/>
        <w:t xml:space="preserve">Stávající vstupní dveře vybourat včetně zárubní, upravit otvor a následně dodat nové, protipožární vstupní dveře (sv. šířky otvoru 800mm) včetně ocelové zárubně. Barva dveří bude bílá. </w:t>
      </w:r>
      <w:proofErr w:type="spellStart"/>
      <w:r>
        <w:t>Ud</w:t>
      </w:r>
      <w:proofErr w:type="spellEnd"/>
      <w:r>
        <w:t>=min. 1,2 W/m</w:t>
      </w:r>
      <w:r>
        <w:rPr>
          <w:vertAlign w:val="superscript"/>
        </w:rPr>
        <w:t>2</w:t>
      </w:r>
      <w:r>
        <w:t>K</w:t>
      </w:r>
      <w:r>
        <w:rPr>
          <w:vertAlign w:val="superscript"/>
        </w:rPr>
        <w:t>-1</w:t>
      </w:r>
      <w:r>
        <w:t>. Dveře budou mít bezpečnostní kování třídy 4, kukátko, jmenný štítek a místo pro číslo bytu. Nutno počítat se zednickou přípravou otvoru a následným zednickým zapravením a výmalby.</w:t>
      </w:r>
    </w:p>
    <w:p/>
    <w:p>
      <w:r>
        <w:rPr>
          <w:u w:val="single"/>
        </w:rPr>
        <w:t>Okna</w:t>
      </w:r>
    </w:p>
    <w:p>
      <w:pPr>
        <w:widowControl w:val="0"/>
        <w:jc w:val="both"/>
      </w:pPr>
      <w:r>
        <w:t>Stávající venkovní výplně otvorů (okna) budou opravena do funkčního stavu. Bude odstraněn stávající nátěr, okna budou přebroušena, kompletně vyčištěna a seřízena. Okna budou opatřeny základním nátěrem a min. 2x vrchním nátěrem v odstínu bílá.  Bude opraveno kování, provede se seštelování pantů a bude doplněno těsnění. Budou dodány nové vnitřní parapety, po osazení parapetu budou zapraveny spáry kolem parapetu, akrylátovým tmelem, který bude přemalovaný.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rPr>
          <w:color w:val="000000"/>
        </w:rPr>
      </w:pPr>
      <w:r>
        <w:rPr>
          <w:b/>
          <w:bCs/>
          <w:iCs/>
          <w:sz w:val="24"/>
        </w:rPr>
        <w:t>Ostatní</w:t>
      </w:r>
    </w:p>
    <w:p>
      <w:pPr>
        <w:rPr>
          <w:color w:val="000000"/>
        </w:rPr>
      </w:pPr>
    </w:p>
    <w:p>
      <w:pPr>
        <w:jc w:val="both"/>
      </w:pPr>
      <w:r>
        <w:t>Dle požadavku investora není možné stavební odpad skladovat ve společných prostorách domu. Z těchto důvodů je nutné stavební odpad průběžně odvážet a likvidovat. Po dohodě s objednatelem je možné vymezit prostor ve dvorní části domu pro umístění kontejneru na stavební odpad. Nicméně je nutné zajistit jeho pravidelný odvoz, zejména z důvodu možného hromadění i jiného odpadu od nájemníků.</w:t>
      </w:r>
    </w:p>
    <w:p>
      <w:pPr>
        <w:jc w:val="both"/>
      </w:pPr>
      <w:r>
        <w:t>Kontejner nesmí blokovat provoz pro osobní automobily, které ve dvoře parkují.</w:t>
      </w:r>
    </w:p>
    <w:p>
      <w:pPr>
        <w:jc w:val="both"/>
      </w:pPr>
      <w:r>
        <w:t>V případě znečištění společných prostor je nutné zajistit úklid. V případě zvýšené prašnosti (např. při bouracích pracích) je nutné zajistit kropení, aby se omezilo šíření prašnosti. Při znečištění společných prostor prachem nebo jiným způsobem je nutné zajistit úklid společných prostor, a to nejen hrubý úklid, ale včetně otření zábradlí a otření schodiště. Prach není možné větrat do společných částí domu.</w:t>
      </w:r>
    </w:p>
    <w:p>
      <w:pPr>
        <w:rPr>
          <w:b/>
        </w:rPr>
      </w:pPr>
    </w:p>
    <w:p>
      <w:r>
        <w:rPr>
          <w:u w:val="single"/>
        </w:rPr>
        <w:t>Nábytek</w:t>
      </w:r>
    </w:p>
    <w:p>
      <w:pPr>
        <w:widowControl w:val="0"/>
        <w:jc w:val="both"/>
      </w:pPr>
      <w:r>
        <w:t>Součástí stavby je i příprava k instalaci kuchyňské linky. Samotná kuchyňská linka není součástí dodávky.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rFonts w:eastAsia="Verdana"/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</w:pPr>
      <w:r>
        <w:rPr>
          <w:rFonts w:eastAsia="Verdana"/>
          <w:iCs/>
          <w:szCs w:val="21"/>
        </w:rPr>
        <w:t xml:space="preserve"> </w:t>
      </w:r>
      <w:r>
        <w:rPr>
          <w:iCs/>
          <w:szCs w:val="21"/>
        </w:rPr>
        <w:tab/>
        <w:t>viz samostatná příloha</w:t>
      </w:r>
    </w:p>
    <w:p>
      <w:pPr>
        <w:widowControl w:val="0"/>
        <w:jc w:val="both"/>
      </w:pPr>
    </w:p>
    <w:p>
      <w:pPr>
        <w:widowControl w:val="0"/>
      </w:pPr>
      <w:r>
        <w:rPr>
          <w:b/>
          <w:color w:val="666666"/>
          <w:sz w:val="28"/>
          <w:szCs w:val="26"/>
        </w:rPr>
        <w:t>D.1.2 Stavebně konstrukční řešení</w:t>
      </w:r>
    </w:p>
    <w:p>
      <w:pPr>
        <w:widowControl w:val="0"/>
        <w:jc w:val="both"/>
      </w:pPr>
    </w:p>
    <w:p>
      <w:pPr>
        <w:widowControl w:val="0"/>
        <w:jc w:val="both"/>
        <w:rPr>
          <w:b/>
          <w:bCs/>
          <w:sz w:val="28"/>
          <w:szCs w:val="28"/>
        </w:rPr>
      </w:pPr>
      <w:r>
        <w:t>Opravou bytu nedojde k zásahu do nosných konstrukcí.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sz w:val="20"/>
        </w:rPr>
      </w:pPr>
      <w:r>
        <w:rPr>
          <w:b/>
          <w:bCs/>
          <w:iCs/>
          <w:sz w:val="28"/>
        </w:rPr>
        <w:t>a) Technická zpráva</w:t>
      </w:r>
    </w:p>
    <w:p>
      <w:pPr>
        <w:widowControl w:val="0"/>
        <w:rPr>
          <w:sz w:val="20"/>
        </w:rPr>
      </w:pPr>
    </w:p>
    <w:p>
      <w:pPr>
        <w:widowControl w:val="0"/>
        <w:rPr>
          <w:b/>
          <w:bCs/>
          <w:color w:val="0000FF"/>
          <w:sz w:val="14"/>
          <w:szCs w:val="14"/>
        </w:rPr>
      </w:pPr>
      <w:r>
        <w:rPr>
          <w:b/>
          <w:sz w:val="24"/>
          <w:szCs w:val="26"/>
        </w:rPr>
        <w:t>Technologické podmínky postupu prací</w:t>
      </w:r>
    </w:p>
    <w:p>
      <w:pPr>
        <w:widowControl w:val="0"/>
        <w:rPr>
          <w:b/>
          <w:bCs/>
          <w:color w:val="0000FF"/>
          <w:sz w:val="14"/>
          <w:szCs w:val="14"/>
        </w:rPr>
      </w:pPr>
    </w:p>
    <w:p>
      <w:r>
        <w:t xml:space="preserve">Zvláštní nároky nejsou kladeny. </w:t>
      </w:r>
    </w:p>
    <w:p>
      <w:pPr>
        <w:widowControl w:val="0"/>
        <w:jc w:val="both"/>
      </w:pPr>
      <w:r>
        <w:t>Postup prací je součástí výrobní dokumentace dodavatelských firem popř. je stanovený výrobcem použitého materiálu. K jednotlivým použitým materiálům je dodavatel povinen předložit objednateli ke kontrole technické listy před jejich zabudováním a použitím.</w:t>
      </w:r>
    </w:p>
    <w:p>
      <w:pPr>
        <w:widowControl w:val="0"/>
      </w:pPr>
    </w:p>
    <w:p>
      <w:pPr>
        <w:widowControl w:val="0"/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lastRenderedPageBreak/>
        <w:t xml:space="preserve">Zásady pro provádění bouracích a </w:t>
      </w:r>
      <w:proofErr w:type="spellStart"/>
      <w:r>
        <w:rPr>
          <w:rFonts w:ascii="Verdana" w:hAnsi="Verdana" w:cs="Verdana"/>
          <w:b/>
          <w:color w:val="00000A"/>
          <w:szCs w:val="26"/>
        </w:rPr>
        <w:t>podchycovacích</w:t>
      </w:r>
      <w:proofErr w:type="spellEnd"/>
      <w:r>
        <w:rPr>
          <w:rFonts w:ascii="Verdana" w:hAnsi="Verdana" w:cs="Verdana"/>
          <w:b/>
          <w:color w:val="00000A"/>
          <w:szCs w:val="26"/>
        </w:rPr>
        <w:t xml:space="preserve"> prací a zpevňovacích konstrukcí či prostupů 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jc w:val="both"/>
      </w:pPr>
      <w:r>
        <w:t>Rozsah bouracích prací neklade požadavky na statické zajištění. Nebude zasahováno do nosných konstrukcí.</w:t>
      </w:r>
    </w:p>
    <w:p>
      <w:pPr>
        <w:widowControl w:val="0"/>
        <w:jc w:val="both"/>
      </w:pPr>
      <w:r>
        <w:t>Hlučné práce je možné provádět pouze v pevně stanoveném čase, a to s ohledem na skutečnost, že v objektu se nachází jiné byty obývané nájemníky. Změnu času je oprávněn upravit pouze zástupce investora.</w:t>
      </w:r>
    </w:p>
    <w:p>
      <w:pPr>
        <w:widowControl w:val="0"/>
        <w:jc w:val="both"/>
        <w:rPr>
          <w:b/>
          <w:szCs w:val="26"/>
        </w:rPr>
      </w:pPr>
      <w:r>
        <w:t>Dle dodaných podkladů od investora je možné provádět hlučné práce pouze v pracovních dnech od 7 hod. do 18 hod. Zbývající čas je vhodné využít pro přípravu jiné pracovní činnosti, úklid sutě, provádění prací při, kterých nevzniká nadměrný hluk aj.</w:t>
      </w:r>
    </w:p>
    <w:p>
      <w:pPr>
        <w:pStyle w:val="Default"/>
        <w:jc w:val="both"/>
        <w:rPr>
          <w:rFonts w:ascii="Verdana" w:hAnsi="Verdana" w:cs="Verdana"/>
          <w:b/>
          <w:color w:val="00000A"/>
          <w:szCs w:val="26"/>
        </w:rPr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t>Požadavky na kontrolu zakrývacích konstrukcí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jc w:val="both"/>
        <w:rPr>
          <w:b/>
          <w:bCs/>
          <w:color w:val="0000FF"/>
          <w:sz w:val="28"/>
          <w:szCs w:val="28"/>
        </w:rPr>
      </w:pPr>
      <w:r>
        <w:t>Dodavatel je povinen před zakrytím konstrukcí svolat kontrolní den za účasti technického dozoru investora, který provede vizuální kontrolu. O provedené kontrole musí být proveden zápis do stavebního deníku, případně i návrh opatření vyplývajících z kontroly.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t>Seznam použitých podkladů, ČSN, technických předpisů, odborné literatury, software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rPr>
          <w:b/>
          <w:bCs/>
          <w:color w:val="0000FF"/>
          <w:sz w:val="28"/>
          <w:szCs w:val="28"/>
        </w:rPr>
      </w:pPr>
      <w:r>
        <w:t>Stavby se týká vyhláška č. 268/2009 Sb., o obecných technických požadavcích na výstavbu ve znění vyhlášky č.398/2006 Sb. a vyhlášky 502/2006 Sb. Jelikož se jedná o stavu hrazenou z veřejných prostředků je nutno také dodržovat zákon o zadávání veřejných zakázkách  č.134/2016 Sb.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>ČSN</w:t>
      </w:r>
    </w:p>
    <w:p>
      <w:pPr>
        <w:rPr>
          <w:sz w:val="12"/>
          <w:szCs w:val="12"/>
        </w:rPr>
      </w:pPr>
      <w:r>
        <w:t xml:space="preserve">Je platný seznam ČSN k vyhlášce č. 268/2009 a jejich novelizace </w:t>
      </w:r>
    </w:p>
    <w:p>
      <w:pPr>
        <w:rPr>
          <w:sz w:val="12"/>
          <w:szCs w:val="12"/>
        </w:rPr>
      </w:pPr>
    </w:p>
    <w:p>
      <w:r>
        <w:rPr>
          <w:u w:val="single"/>
        </w:rPr>
        <w:t xml:space="preserve">Například: </w:t>
      </w:r>
    </w:p>
    <w:p>
      <w:r>
        <w:t xml:space="preserve">ČSN 73 0031 – spolehlivost stavebních konstrukcí a základových půd. Základní ustanovení pro zatížení </w:t>
      </w:r>
    </w:p>
    <w:p>
      <w:r>
        <w:t xml:space="preserve">ČSN 73 0033 – spolehlivost stavebních konstrukcí a základových půd. Základní ustanovení pro zatížení a účinky </w:t>
      </w:r>
    </w:p>
    <w:p>
      <w:r>
        <w:t xml:space="preserve">ČSN 73 0035 – Zatížení stavebních konstrukcí (ve znění změny Z3: 2006) </w:t>
      </w:r>
    </w:p>
    <w:p>
      <w:r>
        <w:t xml:space="preserve">ČSN 73 05 40 Tepelná ochrana budov, </w:t>
      </w:r>
    </w:p>
    <w:p>
      <w:r>
        <w:t xml:space="preserve">ČSN 73 05 32 Akustika. Ochrana proti hluku v budovách a související akustické vlastnosti stavebních výrobků, </w:t>
      </w:r>
    </w:p>
    <w:p>
      <w:r>
        <w:t xml:space="preserve">NV 591/2006 Sb. o bližších minimálních požadavcích na bezpečnost a ochranu zdraví při práci na staveništích, </w:t>
      </w:r>
    </w:p>
    <w:p>
      <w:r>
        <w:t xml:space="preserve">NV362/2005 o bližších požadavcích na bezpečnost ochranu zdraví při práci na pracovištích s nebezpečím pádu z výšky nebo do hloubky. </w:t>
      </w:r>
    </w:p>
    <w:p>
      <w:pPr>
        <w:widowControl w:val="0"/>
        <w:rPr>
          <w:b/>
          <w:bCs/>
          <w:color w:val="0000FF"/>
          <w:sz w:val="24"/>
        </w:rPr>
      </w:pPr>
      <w:r>
        <w:t>EUROKÓDY 1, 2, 3,</w:t>
      </w:r>
    </w:p>
    <w:p>
      <w:pPr>
        <w:widowControl w:val="0"/>
        <w:rPr>
          <w:b/>
          <w:bCs/>
          <w:color w:val="0000FF"/>
          <w:sz w:val="24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>Technické předpisy</w:t>
      </w:r>
    </w:p>
    <w:p>
      <w:pPr>
        <w:jc w:val="both"/>
      </w:pPr>
      <w:r>
        <w:t>Projekt čerpal informace z technických listů zvolených stavebních systémů a materiálů od různých výrobců. Zhotovitel musí při realizaci dodržen doporučení výrobců jím dodávaných materiálů a dodržovat systémová řešení.</w:t>
      </w:r>
      <w:r>
        <w:rPr>
          <w:b/>
          <w:bCs/>
          <w:color w:val="0000FF"/>
          <w:sz w:val="28"/>
          <w:szCs w:val="28"/>
        </w:rPr>
        <w:t xml:space="preserve"> 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 xml:space="preserve">Specifické požadavky na rozsah a obsah dokumentace pro </w:t>
      </w:r>
      <w:r>
        <w:rPr>
          <w:b/>
          <w:color w:val="666666"/>
          <w:sz w:val="24"/>
          <w:szCs w:val="26"/>
          <w:u w:val="single"/>
        </w:rPr>
        <w:lastRenderedPageBreak/>
        <w:t>provádění stavby</w:t>
      </w:r>
    </w:p>
    <w:p>
      <w:pPr>
        <w:widowControl w:val="0"/>
        <w:numPr>
          <w:ilvl w:val="0"/>
          <w:numId w:val="6"/>
        </w:numPr>
      </w:pPr>
      <w:r>
        <w:t>Budou zohledněny případné požadavky dotčených orgánů, správců sítí apod.</w:t>
      </w:r>
    </w:p>
    <w:p>
      <w:pPr>
        <w:widowControl w:val="0"/>
        <w:numPr>
          <w:ilvl w:val="0"/>
          <w:numId w:val="6"/>
        </w:numPr>
        <w:jc w:val="both"/>
      </w:pPr>
      <w:r>
        <w:t xml:space="preserve">Dokumentace neobsahuje některé speciální detaily. V případě provádění konkrétním dodavatelem, musí se řídit vlastní realizační a výrobní dokumentací, která vychází ze zvoleného materiálového řešení a použité technologie zhotovitele. </w:t>
      </w:r>
    </w:p>
    <w:p>
      <w:pPr>
        <w:numPr>
          <w:ilvl w:val="0"/>
          <w:numId w:val="6"/>
        </w:numPr>
        <w:spacing w:after="73"/>
        <w:jc w:val="both"/>
      </w:pPr>
      <w:r>
        <w:t>Dodavatel může provést změnu předepsaných materiálů pouze za podmínky zachování jejich technických parametrů, popř. Dodání takových materiálů a výrobků, které budou mít parametry lepší než doporučené tímto projektem.</w:t>
      </w:r>
    </w:p>
    <w:p>
      <w:pPr>
        <w:numPr>
          <w:ilvl w:val="0"/>
          <w:numId w:val="6"/>
        </w:numPr>
        <w:jc w:val="both"/>
        <w:rPr>
          <w:b/>
          <w:i/>
          <w:color w:val="008000"/>
          <w:sz w:val="26"/>
          <w:szCs w:val="26"/>
        </w:rPr>
      </w:pPr>
      <w:r>
        <w:t xml:space="preserve">Projektant není zodpovědný a nedává záruky za postup a technologii výstavby určené dodavatelskou firmou. A dále nepřebírá žádné závazky vyplývající z nesprávného provedení nebo za nesprávnou péči a údržbu o budoucí konstrukce a prvky. </w:t>
      </w:r>
    </w:p>
    <w:p>
      <w:pPr>
        <w:widowControl w:val="0"/>
        <w:rPr>
          <w:b/>
          <w:i/>
          <w:color w:val="008000"/>
          <w:sz w:val="26"/>
          <w:szCs w:val="26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  <w:rPr>
          <w:b/>
          <w:bCs/>
          <w:iCs/>
          <w:sz w:val="28"/>
        </w:rPr>
      </w:pPr>
      <w:r>
        <w:rPr>
          <w:iCs/>
          <w:szCs w:val="21"/>
        </w:rPr>
        <w:t>Rozsah oprav bytu nevyžaduje výkresové vyjádření stavebně konstrukčního řešení.</w:t>
      </w:r>
    </w:p>
    <w:p>
      <w:pPr>
        <w:widowControl w:val="0"/>
        <w:ind w:firstLine="708"/>
        <w:jc w:val="both"/>
        <w:rPr>
          <w:b/>
          <w:bCs/>
          <w:iCs/>
          <w:sz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c) Statické posouzení</w:t>
      </w:r>
    </w:p>
    <w:p>
      <w:pPr>
        <w:widowControl w:val="0"/>
        <w:jc w:val="both"/>
        <w:rPr>
          <w:b/>
          <w:bCs/>
          <w:sz w:val="28"/>
          <w:szCs w:val="28"/>
        </w:rPr>
      </w:pPr>
      <w:r>
        <w:rPr>
          <w:iCs/>
          <w:szCs w:val="21"/>
        </w:rPr>
        <w:t>Rozsah oprav bytu nebude mít dopad na nosné konstrukce, stabilitu konstrukcí. Stávající nosné konstrukce nevykazují žádné statické poruchy.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d) Plán kontroly spolehlivosti konstrukcí</w:t>
      </w:r>
    </w:p>
    <w:p>
      <w:pPr>
        <w:widowControl w:val="0"/>
        <w:jc w:val="both"/>
        <w:rPr>
          <w:b/>
          <w:bCs/>
          <w:sz w:val="28"/>
          <w:szCs w:val="28"/>
        </w:rPr>
      </w:pPr>
      <w:r>
        <w:rPr>
          <w:iCs/>
          <w:szCs w:val="21"/>
        </w:rPr>
        <w:t>Nejsou budovány žádné nové konstrukce, které by vyžadovali pravidelné kontroly jejich spolehlivosti.</w:t>
      </w:r>
    </w:p>
    <w:p>
      <w:pPr>
        <w:widowControl w:val="0"/>
        <w:rPr>
          <w:b/>
          <w:color w:val="666666"/>
          <w:sz w:val="28"/>
          <w:szCs w:val="26"/>
        </w:rPr>
      </w:pPr>
    </w:p>
    <w:p>
      <w:pPr>
        <w:widowControl w:val="0"/>
      </w:pPr>
      <w:r>
        <w:rPr>
          <w:b/>
          <w:color w:val="666666"/>
          <w:sz w:val="28"/>
          <w:szCs w:val="26"/>
        </w:rPr>
        <w:t>D.1.3 Požárně bezpečnostní řešení</w:t>
      </w:r>
    </w:p>
    <w:p>
      <w:pPr>
        <w:widowControl w:val="0"/>
      </w:pPr>
    </w:p>
    <w:p>
      <w:pPr>
        <w:widowControl w:val="0"/>
        <w:ind w:firstLine="708"/>
        <w:jc w:val="both"/>
      </w:pPr>
      <w:r>
        <w:rPr>
          <w:b/>
          <w:bCs/>
          <w:iCs/>
          <w:sz w:val="28"/>
        </w:rPr>
        <w:t>a) Technická zpráva</w:t>
      </w:r>
    </w:p>
    <w:p>
      <w:pPr>
        <w:widowControl w:val="0"/>
      </w:pPr>
    </w:p>
    <w:p>
      <w:pPr>
        <w:widowControl w:val="0"/>
      </w:pPr>
      <w:r>
        <w:t>Viz Souhrnná technická zpráva odstavec B.2.8</w:t>
      </w:r>
    </w:p>
    <w:p>
      <w:pPr>
        <w:widowControl w:val="0"/>
      </w:pPr>
    </w:p>
    <w:p>
      <w:pPr>
        <w:widowControl w:val="0"/>
        <w:jc w:val="both"/>
      </w:pPr>
      <w:r>
        <w:t>Opravy bytu nemají vliv na stávající stav požárně bezpečnostního řešení. Ani samotné opravy nevyžadují žádná zvláštní opatření.</w:t>
      </w:r>
    </w:p>
    <w:p>
      <w:pPr>
        <w:widowControl w:val="0"/>
        <w:jc w:val="both"/>
        <w:rPr>
          <w:b/>
          <w:bCs/>
          <w:iCs/>
          <w:sz w:val="28"/>
        </w:rPr>
      </w:pPr>
      <w:r>
        <w:t>Dle požadavku investora bude v chodbě za vstupem do bytu osazen autonomní kouřový požární hlásič (fotoelektrický senzor). Hlásič bude mít certifikaci v souladu EN 14604 dle požadavků vyhlášky MV č. 23/2008 o technických podmínkách požární ochrany staveb.</w:t>
      </w:r>
    </w:p>
    <w:p>
      <w:pPr>
        <w:widowControl w:val="0"/>
        <w:ind w:firstLine="708"/>
        <w:jc w:val="both"/>
        <w:rPr>
          <w:b/>
          <w:bCs/>
          <w:iCs/>
          <w:sz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</w:pPr>
      <w:r>
        <w:rPr>
          <w:iCs/>
          <w:szCs w:val="21"/>
        </w:rPr>
        <w:t>S ohledem na rozsah řešených oprav není třeba zajišťovat výkresy požární ochrany.</w:t>
      </w:r>
    </w:p>
    <w:p>
      <w:pPr>
        <w:widowControl w:val="0"/>
      </w:pPr>
    </w:p>
    <w:p>
      <w:pPr>
        <w:widowControl w:val="0"/>
      </w:pPr>
    </w:p>
    <w:p>
      <w:pPr>
        <w:widowControl w:val="0"/>
        <w:rPr>
          <w:b/>
          <w:color w:val="666666"/>
          <w:sz w:val="26"/>
          <w:szCs w:val="26"/>
        </w:rPr>
      </w:pPr>
      <w:r>
        <w:rPr>
          <w:b/>
          <w:color w:val="666666"/>
          <w:sz w:val="28"/>
          <w:szCs w:val="26"/>
        </w:rPr>
        <w:t xml:space="preserve">D.1.4 Technika prostředí staveb </w:t>
      </w:r>
    </w:p>
    <w:p>
      <w:pPr>
        <w:widowControl w:val="0"/>
        <w:rPr>
          <w:b/>
          <w:color w:val="666666"/>
          <w:sz w:val="26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D.1.4.1 Vzduchotechnika, vytápění a plynoinstalace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3"/>
        </w:numPr>
      </w:pPr>
      <w:r>
        <w:rPr>
          <w:b/>
          <w:bCs/>
          <w:iCs/>
          <w:sz w:val="28"/>
        </w:rPr>
        <w:t>Technická zpráva</w:t>
      </w:r>
    </w:p>
    <w:p>
      <w:pPr>
        <w:widowControl w:val="0"/>
        <w:ind w:left="780"/>
        <w:rPr>
          <w:sz w:val="12"/>
          <w:szCs w:val="12"/>
        </w:rPr>
      </w:pPr>
    </w:p>
    <w:p>
      <w:pPr>
        <w:widowControl w:val="0"/>
        <w:rPr>
          <w:b/>
          <w:sz w:val="16"/>
          <w:szCs w:val="16"/>
        </w:rPr>
      </w:pPr>
      <w:r>
        <w:rPr>
          <w:b/>
          <w:sz w:val="24"/>
          <w:szCs w:val="26"/>
        </w:rPr>
        <w:lastRenderedPageBreak/>
        <w:t>Větrání</w:t>
      </w:r>
    </w:p>
    <w:p>
      <w:pPr>
        <w:widowControl w:val="0"/>
        <w:rPr>
          <w:b/>
          <w:sz w:val="16"/>
          <w:szCs w:val="16"/>
        </w:rPr>
      </w:pPr>
    </w:p>
    <w:p>
      <w:pPr>
        <w:widowControl w:val="0"/>
        <w:jc w:val="both"/>
      </w:pPr>
      <w:r>
        <w:t>Kuchyň a pokoje budou větrány přirozeně pomocí stávajících oken, koupelna a WC budou větrány nuceně ventilátorem s časovým doběhem.</w:t>
      </w:r>
    </w:p>
    <w:p>
      <w:pPr>
        <w:widowControl w:val="0"/>
        <w:jc w:val="both"/>
      </w:pPr>
      <w:r>
        <w:t xml:space="preserve">Digestoř v kuchyni bude vestavná a musí být opatřena uhlíkovými filtry. Max. hlučnost 57dB, min. výkon odsávání 500m3/hod. min. 3 stupně rychlosti. </w:t>
      </w:r>
    </w:p>
    <w:p>
      <w:pPr>
        <w:widowControl w:val="0"/>
        <w:jc w:val="both"/>
      </w:pPr>
    </w:p>
    <w:p>
      <w:pPr>
        <w:widowControl w:val="0"/>
        <w:rPr>
          <w:sz w:val="12"/>
          <w:szCs w:val="12"/>
        </w:rPr>
      </w:pPr>
      <w:r>
        <w:rPr>
          <w:b/>
          <w:sz w:val="24"/>
          <w:szCs w:val="26"/>
        </w:rPr>
        <w:t>Způsob vytápění, ohřev TUV</w:t>
      </w:r>
    </w:p>
    <w:p>
      <w:pPr>
        <w:widowControl w:val="0"/>
        <w:rPr>
          <w:sz w:val="12"/>
          <w:szCs w:val="12"/>
        </w:rPr>
      </w:pPr>
    </w:p>
    <w:p>
      <w:r>
        <w:rPr>
          <w:u w:val="single"/>
        </w:rPr>
        <w:t>Zdroj vytápění</w:t>
      </w:r>
    </w:p>
    <w:p>
      <w:pPr>
        <w:jc w:val="both"/>
      </w:pPr>
      <w:r>
        <w:t>V bytovém domě je zavedeno centrální vytápění. Rozvody i otopné tělesa budou ponechány. Soustava bude zbavena stávajícího nátěru, bude očištěna od nečistot a rzi, natřena antikorozní základní barvou a poté 2x vrchním nátěrem bílé barvy.</w:t>
      </w:r>
    </w:p>
    <w:p>
      <w:pPr>
        <w:jc w:val="both"/>
      </w:pPr>
      <w:r>
        <w:t xml:space="preserve">Do koupelny bude osazeno nové otopné trubkové těleso o rozměrech 60x180cm s teplovodním způsobem vytápění. Těleso bude na stávající soustavu napojeno buď pomocí vypuštění stoupačky anebo pomocí metody zamražení.  </w:t>
      </w:r>
    </w:p>
    <w:p>
      <w:pPr>
        <w:jc w:val="both"/>
      </w:pPr>
      <w:r>
        <w:t>Způsob vytápění byl stanoven dle požadavků objednatele a technických možností daného bytu.</w:t>
      </w:r>
    </w:p>
    <w:p>
      <w:pPr>
        <w:widowControl w:val="0"/>
        <w:jc w:val="both"/>
      </w:pPr>
    </w:p>
    <w:p>
      <w:r>
        <w:rPr>
          <w:u w:val="single"/>
        </w:rPr>
        <w:t>Zdroj TV</w:t>
      </w:r>
    </w:p>
    <w:p>
      <w:pPr>
        <w:widowControl w:val="0"/>
        <w:jc w:val="both"/>
      </w:pPr>
      <w:r>
        <w:t>Stávajícím zdrojem teplé užitkové vody je centrální rozvod, který nebude měněn. Šachta bude osazena novými revizními dvířky 500/500/100.</w:t>
      </w:r>
    </w:p>
    <w:p>
      <w:pPr>
        <w:widowControl w:val="0"/>
        <w:jc w:val="both"/>
      </w:pPr>
    </w:p>
    <w:p>
      <w:pPr>
        <w:widowControl w:val="0"/>
        <w:rPr>
          <w:color w:val="000000"/>
          <w:sz w:val="12"/>
          <w:szCs w:val="12"/>
        </w:rPr>
      </w:pPr>
      <w:r>
        <w:rPr>
          <w:b/>
          <w:sz w:val="24"/>
          <w:szCs w:val="26"/>
        </w:rPr>
        <w:t>Plynoinstalace</w:t>
      </w:r>
    </w:p>
    <w:p>
      <w:pPr>
        <w:rPr>
          <w:color w:val="000000"/>
          <w:sz w:val="12"/>
          <w:szCs w:val="12"/>
        </w:rPr>
      </w:pPr>
    </w:p>
    <w:p>
      <w:pPr>
        <w:widowControl w:val="0"/>
        <w:jc w:val="both"/>
      </w:pPr>
      <w:r>
        <w:t xml:space="preserve">Stávající rozvod plynoinstalace bude demontován. Přívod plynu do bytu bude zaslepen a označen v dokumentaci skutečného provedení. </w:t>
      </w:r>
    </w:p>
    <w:p>
      <w:pPr>
        <w:jc w:val="both"/>
        <w:rPr>
          <w:shd w:val="clear" w:color="auto" w:fill="FFFF66"/>
        </w:rPr>
      </w:pPr>
    </w:p>
    <w:p>
      <w:pPr>
        <w:widowControl w:val="0"/>
        <w:numPr>
          <w:ilvl w:val="0"/>
          <w:numId w:val="5"/>
        </w:numPr>
      </w:pPr>
      <w:r>
        <w:rPr>
          <w:b/>
          <w:bCs/>
          <w:iCs/>
          <w:sz w:val="28"/>
        </w:rPr>
        <w:t>Výkresová část</w:t>
      </w: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</w:pPr>
      <w:r>
        <w:t>Vytápění: viz výkresová příloha</w:t>
      </w:r>
    </w:p>
    <w:p>
      <w:pPr>
        <w:widowControl w:val="0"/>
      </w:pPr>
    </w:p>
    <w:p>
      <w:pPr>
        <w:widowControl w:val="0"/>
        <w:numPr>
          <w:ilvl w:val="0"/>
          <w:numId w:val="5"/>
        </w:numPr>
      </w:pPr>
      <w:r>
        <w:rPr>
          <w:b/>
          <w:bCs/>
          <w:iCs/>
          <w:sz w:val="28"/>
        </w:rPr>
        <w:t>Seznam zařízení</w:t>
      </w:r>
    </w:p>
    <w:p>
      <w:pPr>
        <w:widowControl w:val="0"/>
        <w:ind w:left="780"/>
        <w:rPr>
          <w:b/>
          <w:bCs/>
          <w:iCs/>
          <w:sz w:val="12"/>
          <w:szCs w:val="12"/>
        </w:rPr>
      </w:pPr>
    </w:p>
    <w:p>
      <w:pPr>
        <w:widowControl w:val="0"/>
        <w:ind w:left="720"/>
        <w:rPr>
          <w:sz w:val="12"/>
          <w:szCs w:val="12"/>
        </w:rPr>
      </w:pPr>
    </w:p>
    <w:p>
      <w:pPr>
        <w:pStyle w:val="Odstavecseseznamem"/>
        <w:widowControl w:val="0"/>
        <w:numPr>
          <w:ilvl w:val="0"/>
          <w:numId w:val="8"/>
        </w:numPr>
        <w:jc w:val="both"/>
      </w:pPr>
      <w:r>
        <w:t>ventilátor s časovým doběhem</w:t>
      </w:r>
    </w:p>
    <w:p>
      <w:pPr>
        <w:pStyle w:val="Odstavecseseznamem"/>
        <w:widowControl w:val="0"/>
        <w:numPr>
          <w:ilvl w:val="0"/>
          <w:numId w:val="8"/>
        </w:numPr>
        <w:jc w:val="both"/>
      </w:pPr>
      <w:r>
        <w:t>vestavná digestoř s uhlíkovými filtry</w:t>
      </w: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D.1.4.2 Zdravotně technické instalace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2"/>
        </w:numPr>
        <w:rPr>
          <w:b/>
          <w:sz w:val="24"/>
          <w:szCs w:val="26"/>
        </w:rPr>
      </w:pPr>
      <w:r>
        <w:rPr>
          <w:b/>
          <w:bCs/>
          <w:iCs/>
          <w:sz w:val="28"/>
        </w:rPr>
        <w:t>Technická zpráva</w:t>
      </w:r>
    </w:p>
    <w:p>
      <w:pPr>
        <w:widowControl w:val="0"/>
        <w:rPr>
          <w:b/>
          <w:sz w:val="24"/>
          <w:szCs w:val="26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sz w:val="24"/>
          <w:szCs w:val="26"/>
        </w:rPr>
        <w:t>Zdravotní technika, instalace, zařizovací předměty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widowControl w:val="0"/>
        <w:jc w:val="both"/>
      </w:pPr>
      <w:r>
        <w:t xml:space="preserve">Stávající zařizovací předměty budou demontovány a zlikvidovány. Rozvody zdravotně technických instalací (voda, odpady) budou vybourány a nově instalovány, vč. koncových ventilů. Nové rozvody vody musí být spádovány k výtokům zařizovacích předmětů. Rozvody budou opatřeny </w:t>
      </w:r>
      <w:proofErr w:type="spellStart"/>
      <w:r>
        <w:t>návlekovou</w:t>
      </w:r>
      <w:proofErr w:type="spellEnd"/>
      <w:r>
        <w:t xml:space="preserve"> izolací </w:t>
      </w:r>
      <w:proofErr w:type="spellStart"/>
      <w:r>
        <w:t>tl</w:t>
      </w:r>
      <w:proofErr w:type="spellEnd"/>
      <w:r>
        <w:t xml:space="preserve">. 9mm. Nutno počítat se zednickým zapravením po provedení nových rozvodů. </w:t>
      </w:r>
    </w:p>
    <w:p>
      <w:pPr>
        <w:widowControl w:val="0"/>
        <w:jc w:val="both"/>
      </w:pPr>
      <w:r>
        <w:t xml:space="preserve">Rozmístění nových zařizovacích předmětů a spotřebičů je naznačeno ve výkresové </w:t>
      </w:r>
      <w:r>
        <w:lastRenderedPageBreak/>
        <w:t>dokumentaci. Přesné umístění bude provedeno v souladu s platnými normami a dle konzultace mezi dodavatelem a zástupcem objednatele.</w:t>
      </w:r>
    </w:p>
    <w:p>
      <w:pPr>
        <w:widowControl w:val="0"/>
        <w:jc w:val="both"/>
      </w:pPr>
      <w:r>
        <w:t>V objektu budou umístěny typové zařizovací předměty s atesty pro použití v ČR.</w:t>
      </w:r>
    </w:p>
    <w:p>
      <w:pPr>
        <w:jc w:val="both"/>
      </w:pPr>
      <w:r>
        <w:t xml:space="preserve">Zdravotechnika je navržena z bílé keramiky. Umístění je naznačeno ve výkresové části dokumentace. </w:t>
      </w:r>
    </w:p>
    <w:p>
      <w:pPr>
        <w:jc w:val="both"/>
      </w:pPr>
      <w:r>
        <w:t xml:space="preserve">WC bude závěsný komplet </w:t>
      </w:r>
      <w:proofErr w:type="spellStart"/>
      <w:r>
        <w:t>Geberit</w:t>
      </w:r>
      <w:proofErr w:type="spellEnd"/>
      <w:r>
        <w:t xml:space="preserve"> </w:t>
      </w:r>
      <w:proofErr w:type="spellStart"/>
      <w:r>
        <w:t>Kombifix</w:t>
      </w:r>
      <w:proofErr w:type="spellEnd"/>
      <w:r>
        <w:t xml:space="preserve"> s předním ovládáním - sedátko v bílé barvě. Umyvadlo bude šíře 45cm, sifon bílý plastový. Baterie v koupelně bude páková, stojánková. Výtoky budou osazeny rohovými ventily s filtrem a k bateriím budou dodány tlakové hadice (viz PD).</w:t>
      </w:r>
    </w:p>
    <w:p>
      <w:pPr>
        <w:jc w:val="both"/>
      </w:pPr>
      <w:r>
        <w:t>Sprchový kout bude osazen akrylátovou vaničkou 80x80 a opatřen zástěnou z bezpečnostního skla a nástěnnou sprchovou baterií se sprchou a s tyčí s posuvným držákem sprchy.</w:t>
      </w:r>
    </w:p>
    <w:p>
      <w:pPr>
        <w:jc w:val="both"/>
      </w:pPr>
      <w:r>
        <w:t xml:space="preserve">Veškerá spotřeba vody v bytě musí být měřena podružným vodoměrem, který bude dodávat správce domu prostřednictvím svého dodavatele. </w:t>
      </w:r>
    </w:p>
    <w:p>
      <w:pPr>
        <w:jc w:val="both"/>
      </w:pPr>
      <w:r>
        <w:t>V kuchyni bude na přívod studené vody pro dřez osazen kombinovaný rohový ventil, který bude opatřen odbočkou pro případné napojení myčky.</w:t>
      </w:r>
    </w:p>
    <w:p>
      <w:pPr>
        <w:jc w:val="both"/>
      </w:pPr>
      <w:r>
        <w:t>Spáry kolem zařizovacích předmětů budou opatřeny sanitárním tmelem.</w:t>
      </w:r>
    </w:p>
    <w:p>
      <w:pPr>
        <w:widowControl w:val="0"/>
        <w:jc w:val="both"/>
      </w:pPr>
    </w:p>
    <w:p>
      <w:pPr>
        <w:widowControl w:val="0"/>
        <w:jc w:val="both"/>
      </w:pPr>
      <w:r>
        <w:t>Bude provedena tlaková zkouška a zkouška těsnosti.</w:t>
      </w:r>
    </w:p>
    <w:p>
      <w:pPr>
        <w:jc w:val="both"/>
        <w:rPr>
          <w:b/>
          <w:color w:val="666666"/>
          <w:sz w:val="26"/>
          <w:szCs w:val="26"/>
        </w:rPr>
      </w:pPr>
      <w:r>
        <w:t>Zhotovitel spolu s výsledky zkoušek předá objednateli i dokumentaci skutečného stavu (zakreslení všech rozvodů, popis bytového rozvaděče), kterou zajistí.</w:t>
      </w:r>
    </w:p>
    <w:p>
      <w:pPr>
        <w:jc w:val="both"/>
        <w:rPr>
          <w:b/>
          <w:color w:val="666666"/>
          <w:sz w:val="26"/>
          <w:szCs w:val="26"/>
        </w:rPr>
      </w:pPr>
    </w:p>
    <w:p>
      <w:pPr>
        <w:widowControl w:val="0"/>
        <w:numPr>
          <w:ilvl w:val="0"/>
          <w:numId w:val="2"/>
        </w:numPr>
      </w:pPr>
      <w:r>
        <w:rPr>
          <w:rFonts w:eastAsia="Verdana"/>
          <w:b/>
          <w:bCs/>
          <w:iCs/>
          <w:sz w:val="28"/>
        </w:rPr>
        <w:t xml:space="preserve"> </w:t>
      </w:r>
      <w:r>
        <w:rPr>
          <w:b/>
          <w:bCs/>
          <w:iCs/>
          <w:sz w:val="28"/>
        </w:rPr>
        <w:t>Výkresová část</w:t>
      </w: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</w:pPr>
      <w:r>
        <w:t>ZTI: viz samostatná výkresová příloha</w:t>
      </w:r>
    </w:p>
    <w:p>
      <w:pPr>
        <w:widowControl w:val="0"/>
      </w:pPr>
    </w:p>
    <w:p>
      <w:pPr>
        <w:widowControl w:val="0"/>
        <w:numPr>
          <w:ilvl w:val="0"/>
          <w:numId w:val="2"/>
        </w:numPr>
      </w:pPr>
      <w:r>
        <w:rPr>
          <w:b/>
          <w:bCs/>
          <w:iCs/>
          <w:sz w:val="28"/>
        </w:rPr>
        <w:t>Seznam zařízení</w:t>
      </w:r>
    </w:p>
    <w:p>
      <w:pPr>
        <w:widowControl w:val="0"/>
        <w:ind w:left="780"/>
        <w:rPr>
          <w:b/>
          <w:bCs/>
          <w:iCs/>
          <w:sz w:val="12"/>
          <w:szCs w:val="12"/>
        </w:rPr>
      </w:pP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  <w:jc w:val="both"/>
        <w:rPr>
          <w:b/>
          <w:sz w:val="28"/>
          <w:szCs w:val="26"/>
        </w:rPr>
      </w:pPr>
      <w:r>
        <w:t>V rámci ZTI nejsou instalována žádná specifická zařízení, která by vyžadovala podrobnější popis.</w:t>
      </w: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D.1.4.3 Silnoproudá elektrotechnika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4"/>
        </w:numPr>
      </w:pPr>
      <w:r>
        <w:rPr>
          <w:b/>
          <w:bCs/>
          <w:iCs/>
          <w:sz w:val="28"/>
        </w:rPr>
        <w:t>Technická zpráva</w:t>
      </w:r>
    </w:p>
    <w:p>
      <w:pPr>
        <w:jc w:val="both"/>
      </w:pPr>
    </w:p>
    <w:p>
      <w:pPr>
        <w:widowControl w:val="0"/>
        <w:rPr>
          <w:sz w:val="12"/>
          <w:szCs w:val="12"/>
        </w:rPr>
      </w:pPr>
      <w:r>
        <w:rPr>
          <w:b/>
          <w:sz w:val="24"/>
          <w:szCs w:val="26"/>
        </w:rPr>
        <w:t>Elektroinstalace</w:t>
      </w:r>
    </w:p>
    <w:p>
      <w:pPr>
        <w:widowControl w:val="0"/>
        <w:rPr>
          <w:sz w:val="12"/>
          <w:szCs w:val="12"/>
        </w:rPr>
      </w:pPr>
    </w:p>
    <w:p>
      <w:pPr>
        <w:jc w:val="both"/>
      </w:pPr>
      <w:r>
        <w:t>Bytový rozvaděč elektřiny je umístěn v chodbě bytu, který bude odstraněn. Stávající přívod do bytu bude nutno provést nový z důvodu umístění nového elektrického otopného tělesa a indukční desky. V současné době není byt osazen elektroměrem, počítá se s osazením elektroměru s třífázovým připojením.</w:t>
      </w:r>
    </w:p>
    <w:p>
      <w:pPr>
        <w:jc w:val="both"/>
      </w:pPr>
      <w:r>
        <w:t>Je nutné provést novou elektroinstalaci v bytě a následně vyhotovit revizi. Zhotovitel spolu s revizí zajistí dokumentaci skutečného stavu (zakreslení všech rozvodů, popis bytového rozvaděče).</w:t>
      </w:r>
    </w:p>
    <w:p>
      <w:pPr>
        <w:jc w:val="both"/>
      </w:pPr>
      <w:r>
        <w:t>Stávající rozvody budou demontovány a nahrazeny novými. Budou provedeny nové rozvody k novým zásuvkám a přívody k osvětlení. Bytový rozvaděč bude nahrazen novým umístěným v chodbě (viz půdorysné schéma). Budou demontována stávající svítidla.</w:t>
      </w:r>
    </w:p>
    <w:p>
      <w:pPr>
        <w:jc w:val="both"/>
      </w:pPr>
    </w:p>
    <w:p>
      <w:pPr>
        <w:jc w:val="both"/>
      </w:pPr>
      <w:r>
        <w:t xml:space="preserve">Je nutné zajistit nový přívod pro digestoř, zřídit přívod a zásuvky pro pračku, sporák, ledničku. </w:t>
      </w:r>
    </w:p>
    <w:p>
      <w:pPr>
        <w:jc w:val="both"/>
      </w:pPr>
    </w:p>
    <w:p>
      <w:pPr>
        <w:jc w:val="both"/>
      </w:pPr>
      <w:r>
        <w:rPr>
          <w:b/>
          <w:bCs/>
        </w:rPr>
        <w:t>Bude provedena revize nových rozvodů a nového bytového rozvaděče. Následně bude podáno přihlášení k odběrnému místu, aby mohl být zajištěno zprovoznění a zkušební provoz vytápění a funkčnost svítidel a ostatních el. zařízení.</w:t>
      </w:r>
    </w:p>
    <w:p/>
    <w:p>
      <w:pPr>
        <w:jc w:val="both"/>
      </w:pPr>
      <w:r>
        <w:t>Bude osazena zásuvka - 1xzásuvka STA (TV). Vše bude dodáno včetně přívodního kabelu (STA) a UTP kabelu, které budou vedeny v chráničce s dostatečnou dimenzí pro budoucí další využití rozvodů slaboproudých instalací. Budou zakončeny v bytovém rozvaděči s dostatečnou rezervou pro případné zapojení. Bude provedena kontrola funkčnosti stávajícího domovního telefonu a zvonku – zvonek bude umístěn v bytovém rozvaděči a bude dodán nový domovní telefon a vypínač zvonku přede dveřmi.</w:t>
      </w:r>
    </w:p>
    <w:p>
      <w:pPr>
        <w:jc w:val="both"/>
      </w:pPr>
      <w:r>
        <w:t>Bude osazen autonomní kouřový požární hlásič (fotoelektrický senzor) v chodbě za vstupem do bytu.</w:t>
      </w:r>
    </w:p>
    <w:p>
      <w:pPr>
        <w:jc w:val="both"/>
      </w:pPr>
    </w:p>
    <w:p>
      <w:pPr>
        <w:jc w:val="both"/>
      </w:pPr>
      <w:r>
        <w:t>Zásuvky a vypínače ve stejné výšce budou sdružovány do vícenásobných rámečků. Vodiče budou spojovány v krabicích za zásuvkami a vypínači. Přesné rozmístění bude odsouhlaseno investorem.</w:t>
      </w:r>
    </w:p>
    <w:p>
      <w:pPr>
        <w:jc w:val="both"/>
        <w:rPr>
          <w:shd w:val="clear" w:color="auto" w:fill="FF6600"/>
        </w:rPr>
      </w:pPr>
    </w:p>
    <w:p>
      <w:pPr>
        <w:jc w:val="both"/>
      </w:pPr>
      <w:r>
        <w:t>Rozvody v objektu budou provedeny kabely CYKY ve stěnách. Průběh tras rozvodů bude v koridorech určených pro elektrické rozvody dle platných norem ČSN-EN.</w:t>
      </w:r>
    </w:p>
    <w:p>
      <w:pPr>
        <w:jc w:val="both"/>
      </w:pPr>
      <w:r>
        <w:t xml:space="preserve">Zásuvky budou osazeny v původní výšce  od podlahy, nad kuchyňskou linkou v=1300 mm a v koupelnách ve výšce 1200-1300 mm za dodržení znění ČSN 33 20003-7-701 </w:t>
      </w:r>
      <w:proofErr w:type="spellStart"/>
      <w:r>
        <w:t>ed</w:t>
      </w:r>
      <w:proofErr w:type="spellEnd"/>
      <w:r>
        <w:t xml:space="preserve">. 2. Zásuvky budou dle ČSN 33 20003-4-41 </w:t>
      </w:r>
      <w:proofErr w:type="spellStart"/>
      <w:r>
        <w:t>ed</w:t>
      </w:r>
      <w:proofErr w:type="spellEnd"/>
      <w:r>
        <w:t>. 2 mimo zásuvky pro ledničku napojeny přes proudové chrániče.</w:t>
      </w:r>
    </w:p>
    <w:p>
      <w:pPr>
        <w:jc w:val="both"/>
      </w:pPr>
      <w:r>
        <w:t xml:space="preserve">V koupelně bude mimo základní ochrany samočinným odpojením od zdroje provedena zvýšená ochrana - ochrana doplňujícím místním pospojováním dle ČSN 33 2000-7-701 </w:t>
      </w:r>
      <w:proofErr w:type="spellStart"/>
      <w:r>
        <w:t>ed</w:t>
      </w:r>
      <w:proofErr w:type="spellEnd"/>
      <w:r>
        <w:t>. 2, článek 701.41 - Ochrana před úrazem elektrickým proudem.</w:t>
      </w:r>
    </w:p>
    <w:p>
      <w:pPr>
        <w:jc w:val="both"/>
      </w:pPr>
    </w:p>
    <w:p>
      <w:pPr>
        <w:rPr>
          <w:b/>
          <w:szCs w:val="21"/>
        </w:rPr>
      </w:pPr>
      <w:r>
        <w:rPr>
          <w:szCs w:val="21"/>
          <w:u w:val="single"/>
        </w:rPr>
        <w:t>Podklady - technické normy ČSN EN a ostatní předpisy (výčet nejdůležitějších):</w:t>
      </w:r>
    </w:p>
    <w:p>
      <w:pPr>
        <w:jc w:val="both"/>
        <w:rPr>
          <w:szCs w:val="21"/>
        </w:rPr>
      </w:pPr>
      <w:r>
        <w:rPr>
          <w:b/>
          <w:szCs w:val="21"/>
        </w:rPr>
        <w:t xml:space="preserve">ČSN 33 2000-3 </w:t>
      </w:r>
      <w:r>
        <w:rPr>
          <w:szCs w:val="21"/>
        </w:rPr>
        <w:t>- Elektrotechnické předpisy. Elektrická zařízení. Část 3: Stanovení</w:t>
      </w:r>
    </w:p>
    <w:p>
      <w:pPr>
        <w:jc w:val="both"/>
        <w:rPr>
          <w:b/>
          <w:szCs w:val="21"/>
        </w:rPr>
      </w:pPr>
      <w:r>
        <w:rPr>
          <w:szCs w:val="21"/>
        </w:rPr>
        <w:t>základních charakteristik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2000-4-41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2 - </w:t>
      </w:r>
      <w:r>
        <w:rPr>
          <w:szCs w:val="21"/>
        </w:rPr>
        <w:t>Elektrotechnické předpisy. Elektrická zařízení. Část 4: Bezpečnost. Kapitola 41: Ochrana před úrazem elektrickým proudem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předpisy. Elektrická zařízení. Část 5: Výběr a stavba elektrických zařízení. Kapitola 51: Všeobecné předpisy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2000-5-523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předpisy. Elektrická zařízení. Část 5: Výběr a stavba elektrických zařízení. Kapitola 52: Výběr soustav a stavba vedení. Oddíl 523: Dovolené proudy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2000-5-54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>. 2 (332000</w:t>
      </w:r>
      <w:r>
        <w:rPr>
          <w:szCs w:val="21"/>
        </w:rPr>
        <w:t>) - Elektrotechnické předpisy. Elektrická zařízení. Část 5: Výběr a stavba elektrických zařízení. Kapitola 54: Uzemnění a ochranné vodiče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2000-7-701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 - Elektrická zařízení – Část 7: Zařízení jednoúčelová a ve zvláštních objektech - Oddíl 701: Prostory s vanou nebo sprchou a umývací prostory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2130 (332130) </w:t>
      </w:r>
      <w:r>
        <w:rPr>
          <w:szCs w:val="21"/>
        </w:rPr>
        <w:t>- Elektrotechnické předpisy. Vnitřní elektrické rozvody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12464-1 (360450) </w:t>
      </w:r>
      <w:r>
        <w:rPr>
          <w:szCs w:val="21"/>
        </w:rPr>
        <w:t>- Světlo a osvětlení - Osvětlení pracovních prostorů - Část 1:Vnitřní pracovní prostory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62305-1 (341390) </w:t>
      </w:r>
      <w:r>
        <w:rPr>
          <w:szCs w:val="21"/>
        </w:rPr>
        <w:t>- Ochrana před bleskem - Část 1: Obecné principy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62305-2 (341390) </w:t>
      </w:r>
      <w:r>
        <w:rPr>
          <w:szCs w:val="21"/>
        </w:rPr>
        <w:t>- Ochrana před bleskem - Část 2: Řízení rizika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lastRenderedPageBreak/>
        <w:t xml:space="preserve">ČSN EN 62305-3 (341390) </w:t>
      </w:r>
      <w:r>
        <w:rPr>
          <w:szCs w:val="21"/>
        </w:rPr>
        <w:t>- Ochrana před bleskem - Část 3: Hmotné škody stavbách a nebezpečí života</w:t>
      </w:r>
    </w:p>
    <w:p>
      <w:pPr>
        <w:jc w:val="both"/>
        <w:rPr>
          <w:szCs w:val="21"/>
        </w:rPr>
      </w:pPr>
      <w:r>
        <w:rPr>
          <w:b/>
          <w:szCs w:val="21"/>
        </w:rPr>
        <w:t xml:space="preserve">ČSN EN 62305-4 (341390) </w:t>
      </w:r>
      <w:r>
        <w:rPr>
          <w:szCs w:val="21"/>
        </w:rPr>
        <w:t>- Ochrana před bleskem - Část 4: Elektrické a elektronické systémy ve stavbách</w:t>
      </w:r>
    </w:p>
    <w:p>
      <w:pPr>
        <w:rPr>
          <w:szCs w:val="21"/>
        </w:rPr>
      </w:pPr>
    </w:p>
    <w:p>
      <w:pPr>
        <w:widowControl w:val="0"/>
        <w:numPr>
          <w:ilvl w:val="0"/>
          <w:numId w:val="4"/>
        </w:numPr>
      </w:pPr>
      <w:r>
        <w:rPr>
          <w:b/>
          <w:bCs/>
          <w:iCs/>
          <w:sz w:val="28"/>
        </w:rPr>
        <w:t>Výkresová část</w:t>
      </w:r>
    </w:p>
    <w:p>
      <w:pPr>
        <w:widowControl w:val="0"/>
      </w:pPr>
    </w:p>
    <w:p>
      <w:pPr>
        <w:widowControl w:val="0"/>
        <w:rPr>
          <w:highlight w:val="yellow"/>
        </w:rPr>
      </w:pPr>
      <w:r>
        <w:t>Elektroinstalace: viz samostatná výkresová příloha</w:t>
      </w:r>
    </w:p>
    <w:p>
      <w:pPr>
        <w:widowControl w:val="0"/>
        <w:rPr>
          <w:shd w:val="clear" w:color="auto" w:fill="FFFF00"/>
        </w:rPr>
      </w:pPr>
    </w:p>
    <w:p>
      <w:pPr>
        <w:widowControl w:val="0"/>
        <w:jc w:val="both"/>
        <w:rPr>
          <w:lang w:eastAsia="ja-JP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106045</wp:posOffset>
                </wp:positionV>
                <wp:extent cx="5888355" cy="15875"/>
                <wp:effectExtent l="13970" t="6350" r="5715" b="889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87800" cy="15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/>
          </mc:Fallback>
        </mc:AlternateContent>
      </w:r>
    </w:p>
    <w:p>
      <w:pPr>
        <w:widowControl w:val="0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12"/>
          <w:szCs w:val="12"/>
        </w:rPr>
      </w:pPr>
      <w:r>
        <w:rPr>
          <w:b/>
          <w:i/>
          <w:iCs/>
          <w:sz w:val="26"/>
          <w:szCs w:val="26"/>
        </w:rPr>
        <w:t>Specifické požadavky pro provádění staveb</w:t>
      </w:r>
    </w:p>
    <w:p>
      <w:pPr>
        <w:widowControl w:val="0"/>
        <w:rPr>
          <w:b/>
          <w:i/>
          <w:color w:val="008000"/>
          <w:sz w:val="12"/>
          <w:szCs w:val="12"/>
        </w:rPr>
      </w:pPr>
    </w:p>
    <w:p>
      <w:pPr>
        <w:widowControl w:val="0"/>
        <w:spacing w:after="73"/>
        <w:jc w:val="both"/>
        <w:rPr>
          <w:b/>
          <w:sz w:val="26"/>
          <w:szCs w:val="26"/>
        </w:rPr>
      </w:pPr>
      <w:r>
        <w:t>Dodavatelem budou dle potřeby zpracovány prováděcí projekty jednotlivých profesí, např. týkající se elektroinstalace, ZTI atd. Dále fotodokumentaci pořizovanou v průběhu oprav bytu, zejména pak fotodokumentaci všech skrytých konstrukcí a instalací.</w:t>
      </w:r>
    </w:p>
    <w:p>
      <w:pPr>
        <w:widowControl w:val="0"/>
        <w:rPr>
          <w:b/>
          <w:sz w:val="26"/>
          <w:szCs w:val="26"/>
        </w:rPr>
      </w:pPr>
    </w:p>
    <w:p>
      <w:pPr>
        <w:pStyle w:val="Default"/>
      </w:pPr>
      <w:r>
        <w:rPr>
          <w:rFonts w:ascii="Verdana" w:hAnsi="Verdana" w:cs="Verdana"/>
          <w:b/>
          <w:i/>
          <w:iCs/>
          <w:color w:val="00000A"/>
          <w:sz w:val="26"/>
          <w:szCs w:val="26"/>
        </w:rPr>
        <w:t>Všeobecná upozornění projektanta</w:t>
      </w:r>
    </w:p>
    <w:p>
      <w:pPr>
        <w:ind w:left="708"/>
        <w:rPr>
          <w:color w:val="000000"/>
        </w:rPr>
      </w:pPr>
    </w:p>
    <w:p>
      <w:pPr>
        <w:ind w:firstLine="360"/>
        <w:jc w:val="both"/>
        <w:rPr>
          <w:color w:val="000000"/>
        </w:rPr>
      </w:pPr>
      <w:r>
        <w:rPr>
          <w:color w:val="000000"/>
        </w:rPr>
        <w:t>Stavba bude prováděna dle platných aktuálních ČSN a technologických postupů výrobců.</w:t>
      </w:r>
    </w:p>
    <w:p>
      <w:pPr>
        <w:ind w:firstLine="360"/>
        <w:jc w:val="both"/>
        <w:rPr>
          <w:color w:val="000000"/>
        </w:rPr>
      </w:pPr>
      <w:r>
        <w:rPr>
          <w:color w:val="000000"/>
        </w:rPr>
        <w:t>Pro provádění prací ve stavebnictví se dále vztahují následující vyhlášky a zákony: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398/2009 Sb. o obecných technických požadavcích zabezpečujících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268/2009 Sb., o technických požadavcích na výstavbu.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183/2006 Sb. Stavební zákon a příslušné prováděcí předpisy.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Nařízení vlády č. 591/2006 Sb. o bližších minimálních požadavcích na BOZP na staveništích.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571/2006 Sb., kterou se mění vyhláška č. 415/2003 Sb., kterou se stanoví podmínky k zajištění BOZP a bezpečnosti provozu při svislé dopravě a chůzi.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48/1982 Sb. o základních požadavcích bezpečnosti práce a technických zařízení.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133/1985 Sb. o požární ochraně v platném znění.</w:t>
      </w:r>
    </w:p>
    <w:p>
      <w:pPr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b/>
          <w:bCs/>
        </w:rPr>
        <w:t>Obchodní názvy</w:t>
      </w:r>
      <w:r>
        <w:t xml:space="preserve"> výjimečně uvedené ve výkresové části projektové dokumentaci nebo v technické zprávě, či v soupisech prací, slouží pouze k upřesnění požadovaného druhu materiálu či výrobku. Při realizaci může dodavatel po dohodě s objednatelem použít i jiných obdobných materiálů a výrobků, za podmínky, že budou svými parametry splňovat kvalitativně a technicky navržené řešení či jej překonávat.</w:t>
      </w:r>
    </w:p>
    <w:p>
      <w:pPr>
        <w:ind w:left="360" w:firstLine="360"/>
        <w:jc w:val="both"/>
        <w:rPr>
          <w:color w:val="000000"/>
        </w:rPr>
      </w:pPr>
      <w:r>
        <w:rPr>
          <w:color w:val="000000"/>
        </w:rPr>
        <w:t>Před realizací musí dodavatel zrekapitulovat navržené řešení a dle svých odborných znalostí posoudit, zda vyhovuje platným normám a zákonům. Při realizaci se těmito normami musí řídit. Na případné nedostatky musí upozornit před zahájením prací.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Dodavatel musí před zahájením stavby </w:t>
      </w:r>
      <w:r>
        <w:rPr>
          <w:b/>
          <w:bCs/>
          <w:color w:val="000000"/>
        </w:rPr>
        <w:t>důkladně nastudovat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projektovou dokumentaci,</w:t>
      </w:r>
      <w:r>
        <w:rPr>
          <w:color w:val="000000"/>
        </w:rPr>
        <w:t xml:space="preserve"> a to jak výkresovou část, tak textovou, včetně všech profesí, </w:t>
      </w:r>
      <w:r>
        <w:rPr>
          <w:color w:val="000000"/>
        </w:rPr>
        <w:lastRenderedPageBreak/>
        <w:t xml:space="preserve">vyjádření dotčených orgánů a soupisů prací. Před zahájením výroby a realizace musí dodavatelé jednotlivých profesí </w:t>
      </w:r>
      <w:r>
        <w:rPr>
          <w:b/>
          <w:bCs/>
          <w:color w:val="000000"/>
        </w:rPr>
        <w:t xml:space="preserve">prověřit </w:t>
      </w:r>
      <w:r>
        <w:rPr>
          <w:color w:val="000000"/>
        </w:rPr>
        <w:t>veškerá technická a materiálová řešení. Pokud zhotovitel neupozorní před zahájením prací na nějaké nedostatky, má se za to, že veškeré konstrukce jsou tak, jak je popsáno v této PD, reálné a realizovatelné, a že veškeré navržené prvky a rozměry jsou reálné a v daném čase na trhu dostupné (formáty, průřezy, barevnost atd.). Součástí této dokumentace nejsou prováděcí projekty profesí elektroinstalace ani technických zařízení budov!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Technický dozor na stavbě zajistí případné konzultace mezi dodavatelem a projektantem.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Před zahájením výroby a prací je nutno na stavbě ověřit veškeré rozměry. </w:t>
      </w:r>
      <w:r>
        <w:rPr>
          <w:b/>
          <w:bCs/>
          <w:color w:val="000000"/>
        </w:rPr>
        <w:t>Výměry</w:t>
      </w:r>
      <w:r>
        <w:rPr>
          <w:color w:val="000000"/>
        </w:rPr>
        <w:t xml:space="preserve"> uvedené v soupisu prací je nutné ověřit před zahájením prací, nejlépe před podpisem smlouvy o dílo. Výměry uvedené v projektové dokumentaci jsou určené pro nacenění, není možné podle nich objednávat materiál, co se týče jeho množství apod.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Pokud bude při provádění stavebních prací zjištěna výrazná konstrukční nebo </w:t>
      </w:r>
      <w:r>
        <w:rPr>
          <w:b/>
          <w:bCs/>
          <w:color w:val="000000"/>
        </w:rPr>
        <w:t>statická porucha</w:t>
      </w:r>
      <w:r>
        <w:rPr>
          <w:color w:val="000000"/>
        </w:rPr>
        <w:t xml:space="preserve"> stavby, budou práce zastaveny a konstrukce bude odborně sanována dle pokynu statika – autorizované osoby (autorizovaný inženýr pro statiku a dynamiku staveb)! Podobně se bude postupovat, pokud vyvstanou jakékoliv pochybnosti ohledně únosnosti nosných konstrukcí.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Pro stavební úpravy prostupu platí obecná zásada, že pokud dotčená konstrukce tvoří stavební předěl, požární ucpávky provede odborná firma, objednaná dodavatelem, stavební začištění provede dodavatel sám.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Autor projektové dokumentace si vyhrazuje </w:t>
      </w:r>
      <w:r>
        <w:rPr>
          <w:b/>
          <w:bCs/>
          <w:color w:val="000000"/>
        </w:rPr>
        <w:t>právo změny</w:t>
      </w:r>
      <w:r>
        <w:rPr>
          <w:color w:val="000000"/>
        </w:rPr>
        <w:t xml:space="preserve">, nebo úpravy projektu vyvolaných dodatečným průzkumem či zjištěních provedených při realizaci navržených stavebních úprav.  Projektant si vyhrazuje právo změny v průběhu územního a stavebního řízení, v průběhu výběrového řízení i výstavby, z důvodu </w:t>
      </w:r>
      <w:r>
        <w:rPr>
          <w:b/>
          <w:bCs/>
          <w:color w:val="000000"/>
        </w:rPr>
        <w:t>doplnění</w:t>
      </w:r>
      <w:r>
        <w:rPr>
          <w:color w:val="000000"/>
        </w:rPr>
        <w:t xml:space="preserve"> opatření pro splnění požadavku platných ČSN, pro dosažení funkčnosti a životnosti všech konstrukčních a dispozičních řešení, bezpečnost osob. Náklady na provedení těchto opatření ponese investor.</w:t>
      </w:r>
    </w:p>
    <w:p>
      <w:pPr>
        <w:ind w:left="360"/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color w:val="000000"/>
        </w:rPr>
        <w:t>Předkládaná projektová dokumentace neřeší technologické návaznosti prací, jako např. časová následnost použitého lešení v jednotlivých fázích výstavby apod., tyto okolnosti je nutno vyhodnotit dodavatelem v rámci předkládané nabídky, dle možností konkrétního dodavatele.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Dodavatel musí pro stavbu použít jen takové </w:t>
      </w:r>
      <w:r>
        <w:rPr>
          <w:b/>
          <w:bCs/>
          <w:color w:val="000000"/>
        </w:rPr>
        <w:t>výrobky</w:t>
      </w:r>
      <w:r>
        <w:rPr>
          <w:color w:val="000000"/>
        </w:rPr>
        <w:t xml:space="preserve">, které mají takové vlastnosti, aby po dobu předpokládané existence stavby byla při běžné údržbě zaručená požadovaná mechanická pevnost, stabilita, požární bezpečnost, hygienické požadavky, ochrana zdraví a životního prostředí, bezpečnost při užívání, ochrana proti hluku a úspora energie. Všechny použité materiály a výrobky musí mít atest, popřípadě </w:t>
      </w:r>
      <w:r>
        <w:rPr>
          <w:b/>
          <w:bCs/>
          <w:color w:val="000000"/>
        </w:rPr>
        <w:t>prohlášení o shodě</w:t>
      </w:r>
      <w:r>
        <w:rPr>
          <w:color w:val="000000"/>
        </w:rPr>
        <w:t>. Tyto dokumenty budou předány technickému dozoru investora. Na stavbě bude bezpodmínečné veden stavební deník! Jelikož se jedná o veřejnou stavbu, je nutné, aby dodavatel na stavbě zajistil stavbyvedoucího (autorizovaná osoba dle stavebního zákona).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Při provádění stavby musí být dodrženy </w:t>
      </w:r>
      <w:r>
        <w:rPr>
          <w:b/>
          <w:bCs/>
          <w:color w:val="000000"/>
        </w:rPr>
        <w:t>technologické postupy</w:t>
      </w:r>
      <w:r>
        <w:rPr>
          <w:color w:val="000000"/>
        </w:rPr>
        <w:t xml:space="preserve"> a doporučení výrobců popřípadě dovozců materiálů a výrobků. Během realizace stavby je nutno účinně větrat vnitřní prostory stavby a neprodyšně je nezavírat, aby byl zajištěn trvalý odvod páry z vysychajících stavebních konstrukcí. Současně je nutné stavbu chránit před povětrnostními vlivy (promrzání, pronikání vlhkosti).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Veškeré práce na stavbě budou provádět prokazatelně </w:t>
      </w:r>
      <w:r>
        <w:rPr>
          <w:b/>
          <w:bCs/>
          <w:color w:val="000000"/>
        </w:rPr>
        <w:t xml:space="preserve">proškolení pracovníci </w:t>
      </w:r>
      <w:r>
        <w:rPr>
          <w:color w:val="000000"/>
        </w:rPr>
        <w:t xml:space="preserve">pro daný výrobek a danou činnost. </w:t>
      </w:r>
    </w:p>
    <w:p>
      <w:pPr>
        <w:ind w:left="360"/>
        <w:jc w:val="both"/>
        <w:rPr>
          <w:b/>
          <w:bCs/>
          <w:color w:val="000000"/>
        </w:rPr>
      </w:pPr>
      <w:r>
        <w:rPr>
          <w:color w:val="000000"/>
        </w:rPr>
        <w:t xml:space="preserve">K veškerým řemeslným výrobkům (zámečnické, klempířské, truhlářské atd.) bude provedena podrobná </w:t>
      </w:r>
      <w:r>
        <w:rPr>
          <w:b/>
          <w:bCs/>
          <w:color w:val="000000"/>
        </w:rPr>
        <w:t>dílenská (výrobní) dokumentace</w:t>
      </w:r>
      <w:r>
        <w:rPr>
          <w:color w:val="000000"/>
        </w:rPr>
        <w:t xml:space="preserve"> v režii dodavatele. Návrh bude odsouhlasen investorem. Bude proveden jeden vzorek a ten se odsouhlasí </w:t>
      </w:r>
      <w:r>
        <w:rPr>
          <w:color w:val="000000"/>
        </w:rPr>
        <w:lastRenderedPageBreak/>
        <w:t>všemi dotčenými stranami. Součástí dodávek jsou běžné spojovací materiály, vyrovnávací stěrky, tmely a penetrační nátěry, pokud není uvedeno dále jinak.</w:t>
      </w:r>
    </w:p>
    <w:p>
      <w:pPr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Statikem</w:t>
      </w:r>
      <w:r>
        <w:rPr>
          <w:color w:val="000000"/>
        </w:rPr>
        <w:t xml:space="preserve"> se rozumí osoba s autorizací ČKAIT v oboru Statika a dynamika staveb. </w:t>
      </w:r>
    </w:p>
    <w:p>
      <w:pPr>
        <w:ind w:left="360"/>
        <w:jc w:val="both"/>
        <w:rPr>
          <w:color w:val="000000"/>
        </w:rPr>
      </w:pPr>
      <w:r>
        <w:rPr>
          <w:b/>
          <w:bCs/>
          <w:color w:val="000000"/>
        </w:rPr>
        <w:t>Záměnu materiálů</w:t>
      </w:r>
      <w:r>
        <w:rPr>
          <w:color w:val="000000"/>
        </w:rPr>
        <w:t xml:space="preserve"> navrženou dodavatelem posoudí projektant, odsouhlasení provede technický dozor investora písemně nejlépe do stavebního deníku. Jakékoliv změny nebo úpravy technického řešení je nutné projednat s profesním projektantem, hlavním inženýrem a technickým dozorem investora před započetím prací. Za škody způsobené použitím jiných než předepsaných materiálu, systému, postupu apod. (obecně v projektu uvedených opatření) apod. ručí dodavatel stavby.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Z důvodu zajištění plynulosti výstavby a předcházení nežádoucích událostí projektant doporučuje konzultovat veškeré práce před jejich započetím i v průběhu výstavby se zástupcem majitele objektu (investora). </w:t>
      </w:r>
    </w:p>
    <w:p>
      <w:pPr>
        <w:ind w:left="360"/>
        <w:jc w:val="both"/>
        <w:rPr>
          <w:b/>
          <w:bCs/>
          <w:color w:val="000000"/>
        </w:rPr>
      </w:pPr>
      <w:r>
        <w:rPr>
          <w:color w:val="000000"/>
        </w:rPr>
        <w:t xml:space="preserve">Součástí dodávky jsou veškeré </w:t>
      </w:r>
      <w:r>
        <w:rPr>
          <w:b/>
          <w:bCs/>
          <w:color w:val="000000"/>
        </w:rPr>
        <w:t>separační vrstvy a penetrace</w:t>
      </w:r>
      <w:r>
        <w:rPr>
          <w:color w:val="000000"/>
        </w:rPr>
        <w:t xml:space="preserve">, stejně tak pomocné kotvící materiály, laťování, nutno počítat s prořezy deskových materiálů, potrubí, nosných prvků, dále s možností zatečení litých směsí do dutin apod. </w:t>
      </w:r>
    </w:p>
    <w:p>
      <w:pPr>
        <w:ind w:left="360"/>
        <w:jc w:val="both"/>
        <w:rPr>
          <w:color w:val="000000"/>
        </w:rPr>
      </w:pPr>
      <w:r>
        <w:rPr>
          <w:b/>
          <w:bCs/>
          <w:color w:val="000000"/>
        </w:rPr>
        <w:t>Je nutné počítat s vytmelením všech spár, a to i kolem zařizovacích předmětů.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Tento projekt bude prokazatelně předán dodavateli investorem </w:t>
      </w:r>
      <w:r>
        <w:rPr>
          <w:b/>
          <w:bCs/>
          <w:color w:val="000000"/>
        </w:rPr>
        <w:t>v originále</w:t>
      </w:r>
      <w:r>
        <w:rPr>
          <w:color w:val="000000"/>
        </w:rPr>
        <w:t>, v ucelené komplexní podobě, nekopírované, se zachovanými barevnými odlišeními v dokumentaci, která vymezují navržená opatření a zajišťují jednoznačný výklad.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V případě pozdější realizace díla je nutné zohlednit aktuální právní předpisy a technické standardy dle příslušných ČSN.</w:t>
      </w:r>
    </w:p>
    <w:p>
      <w:pPr>
        <w:jc w:val="both"/>
        <w:rPr>
          <w:color w:val="000000"/>
        </w:rPr>
      </w:pPr>
    </w:p>
    <w:p>
      <w:pPr>
        <w:jc w:val="both"/>
        <w:rPr>
          <w:color w:val="000000"/>
        </w:rPr>
      </w:pPr>
    </w:p>
    <w:p>
      <w:pPr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b/>
          <w:u w:val="single"/>
        </w:rPr>
        <w:t>Obecná provozní opatření, údržba, poučení</w:t>
      </w:r>
    </w:p>
    <w:p>
      <w:pPr>
        <w:ind w:left="360"/>
        <w:jc w:val="both"/>
      </w:pPr>
      <w:r>
        <w:rPr>
          <w:color w:val="000000"/>
        </w:rPr>
        <w:t>Je nutné pravidelně obnovovat nátěry a malby, především ochranné nátěry venkovních konstrukcí ocelových, dřevěných a klempířských. Budou kontrolovány a udržovány tmelené spoje v periodách cca 3 roky. Stavbu je možno užívat jen běžným způsobem a pouze k takovým účelům, ke kterým byla určena. Je nutné informovat uživatele bytu o správném způsobu užívání bytu. Zejména pak o správném postupu při vytápění bytu a jeho pravidelném větraní (z důvodu kvalitní výměny vzduchu a snižování vzdušné vlhkosti).</w:t>
      </w:r>
    </w:p>
    <w:p>
      <w:pPr>
        <w:widowControl w:val="0"/>
        <w:jc w:val="both"/>
      </w:pPr>
    </w:p>
    <w:sectPr>
      <w:headerReference w:type="default" r:id="rId7"/>
      <w:footerReference w:type="default" r:id="rId8"/>
      <w:pgSz w:w="11906" w:h="16838"/>
      <w:pgMar w:top="1813" w:right="1418" w:bottom="1423" w:left="1418" w:header="465" w:footer="713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pBdr>
        <w:top w:val="thinThickSmallGap" w:sz="24" w:space="1" w:color="800000"/>
      </w:pBdr>
      <w:jc w:val="right"/>
    </w:pPr>
    <w:r>
      <w:rPr>
        <w:sz w:val="18"/>
        <w:szCs w:val="18"/>
      </w:rPr>
      <w:t xml:space="preserve">Stránka </w:t>
    </w:r>
    <w:r>
      <w:rPr>
        <w:sz w:val="18"/>
        <w:szCs w:val="18"/>
      </w:rPr>
      <w:fldChar w:fldCharType="begin"/>
    </w:r>
    <w:r>
      <w:instrText>PAGE</w:instrText>
    </w:r>
    <w:r>
      <w:fldChar w:fldCharType="separate"/>
    </w:r>
    <w:r>
      <w:rPr>
        <w:noProof/>
      </w:rPr>
      <w:t>13</w:t>
    </w:r>
    <w:r>
      <w:fldChar w:fldCharType="end"/>
    </w:r>
  </w:p>
  <w:p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  <w:widowControl w:val="0"/>
      <w:jc w:val="right"/>
    </w:pPr>
    <w:r>
      <w:rPr>
        <w:noProof/>
        <w:lang w:eastAsia="cs-CZ"/>
      </w:rPr>
      <w:drawing>
        <wp:anchor distT="0" distB="0" distL="0" distR="0" simplePos="0" relativeHeight="17" behindDoc="0" locked="0" layoutInCell="1" allowOverlap="1">
          <wp:simplePos x="0" y="0"/>
          <wp:positionH relativeFrom="column">
            <wp:posOffset>46990</wp:posOffset>
          </wp:positionH>
          <wp:positionV relativeFrom="paragraph">
            <wp:posOffset>-133350</wp:posOffset>
          </wp:positionV>
          <wp:extent cx="2037080" cy="666115"/>
          <wp:effectExtent l="0" t="0" r="0" b="0"/>
          <wp:wrapTight wrapText="bothSides">
            <wp:wrapPolygon edited="0">
              <wp:start x="-109" y="0"/>
              <wp:lineTo x="-109" y="20876"/>
              <wp:lineTo x="21402" y="20876"/>
              <wp:lineTo x="21402" y="0"/>
              <wp:lineTo x="-109" y="0"/>
            </wp:wrapPolygon>
          </wp:wrapTight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7080" cy="666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  <w:szCs w:val="22"/>
      </w:rPr>
      <w:tab/>
      <w:t>Dokumentace pro stavební povolení</w:t>
    </w:r>
  </w:p>
  <w:p>
    <w:pPr>
      <w:widowControl w:val="0"/>
      <w:jc w:val="center"/>
    </w:pPr>
  </w:p>
  <w:p>
    <w:pPr>
      <w:widowControl w:val="0"/>
      <w:tabs>
        <w:tab w:val="left" w:pos="3544"/>
        <w:tab w:val="left" w:pos="3828"/>
        <w:tab w:val="left" w:pos="5103"/>
      </w:tabs>
      <w:jc w:val="center"/>
    </w:pPr>
    <w:r>
      <w:tab/>
      <w:t xml:space="preserve">                                       Křídlovická 60, byt č. 6</w:t>
    </w:r>
  </w:p>
  <w:p>
    <w:pPr>
      <w:widowControl w:val="0"/>
      <w:tabs>
        <w:tab w:val="left" w:pos="3544"/>
        <w:tab w:val="left" w:pos="3828"/>
        <w:tab w:val="left" w:pos="5103"/>
      </w:tabs>
      <w:jc w:val="center"/>
    </w:pPr>
  </w:p>
  <w:p>
    <w:pPr>
      <w:widowControl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65DFC"/>
    <w:multiLevelType w:val="multilevel"/>
    <w:tmpl w:val="9AD208E2"/>
    <w:lvl w:ilvl="0">
      <w:start w:val="1"/>
      <w:numFmt w:val="lowerLetter"/>
      <w:lvlText w:val="%1)"/>
      <w:lvlJc w:val="left"/>
      <w:pPr>
        <w:ind w:left="720" w:hanging="360"/>
      </w:pPr>
      <w:rPr>
        <w:rFonts w:cs="Verdana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FC3350A"/>
    <w:multiLevelType w:val="multilevel"/>
    <w:tmpl w:val="1F4C0FF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615174"/>
    <w:multiLevelType w:val="multilevel"/>
    <w:tmpl w:val="427610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3A906E3"/>
    <w:multiLevelType w:val="multilevel"/>
    <w:tmpl w:val="D736B0D2"/>
    <w:lvl w:ilvl="0">
      <w:start w:val="1"/>
      <w:numFmt w:val="lowerLetter"/>
      <w:lvlText w:val="%1)"/>
      <w:lvlJc w:val="left"/>
      <w:pPr>
        <w:ind w:left="780" w:hanging="42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8503D7"/>
    <w:multiLevelType w:val="multilevel"/>
    <w:tmpl w:val="D9CA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color w:val="00000A"/>
        <w:sz w:val="26"/>
        <w:szCs w:val="26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  <w:color w:val="008000"/>
        <w:sz w:val="26"/>
        <w:szCs w:val="26"/>
      </w:rPr>
    </w:lvl>
  </w:abstractNum>
  <w:abstractNum w:abstractNumId="5" w15:restartNumberingAfterBreak="0">
    <w:nsid w:val="4FE83201"/>
    <w:multiLevelType w:val="hybridMultilevel"/>
    <w:tmpl w:val="D616A590"/>
    <w:lvl w:ilvl="0" w:tplc="8484250E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E1123"/>
    <w:multiLevelType w:val="multilevel"/>
    <w:tmpl w:val="4BF09F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CC92BA6"/>
    <w:multiLevelType w:val="multilevel"/>
    <w:tmpl w:val="55BEEF86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iCs/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DF351-DCE5-4323-8944-E0AFB903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Verdana" w:hAnsi="Verdana" w:cs="Verdana"/>
      <w:color w:val="00000A"/>
      <w:sz w:val="21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b/>
      <w:bCs/>
      <w:iCs/>
      <w:sz w:val="28"/>
      <w:szCs w:val="28"/>
    </w:rPr>
  </w:style>
  <w:style w:type="character" w:customStyle="1" w:styleId="WW8Num3z0">
    <w:name w:val="WW8Num3z0"/>
    <w:qFormat/>
    <w:rPr>
      <w:b/>
      <w:sz w:val="28"/>
      <w:szCs w:val="28"/>
    </w:rPr>
  </w:style>
  <w:style w:type="character" w:customStyle="1" w:styleId="WW8Num4z0">
    <w:name w:val="WW8Num4z0"/>
    <w:qFormat/>
    <w:rPr>
      <w:rFonts w:ascii="Verdana" w:hAnsi="Verdana" w:cs="Verdana"/>
      <w:b/>
      <w:bCs/>
      <w:sz w:val="28"/>
      <w:szCs w:val="28"/>
    </w:rPr>
  </w:style>
  <w:style w:type="character" w:customStyle="1" w:styleId="WW8Num5z0">
    <w:name w:val="WW8Num5z0"/>
    <w:qFormat/>
    <w:rPr>
      <w:b/>
      <w:sz w:val="28"/>
      <w:szCs w:val="28"/>
    </w:rPr>
  </w:style>
  <w:style w:type="character" w:customStyle="1" w:styleId="WW8Num6z0">
    <w:name w:val="WW8Num6z0"/>
    <w:qFormat/>
    <w:rPr>
      <w:rFonts w:ascii="Symbol" w:hAnsi="Symbol" w:cs="OpenSymbol"/>
      <w:color w:val="00000A"/>
      <w:sz w:val="26"/>
      <w:szCs w:val="26"/>
    </w:rPr>
  </w:style>
  <w:style w:type="character" w:customStyle="1" w:styleId="WW8Num6z1">
    <w:name w:val="WW8Num6z1"/>
    <w:qFormat/>
    <w:rPr>
      <w:rFonts w:ascii="Wingdings" w:hAnsi="Wingdings" w:cs="OpenSymbol"/>
      <w:color w:val="008000"/>
      <w:sz w:val="26"/>
      <w:szCs w:val="26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Standardnpsmoodstavce7">
    <w:name w:val="Standardní písmo odstavce7"/>
    <w:qFormat/>
  </w:style>
  <w:style w:type="character" w:customStyle="1" w:styleId="Standardnpsmoodstavce6">
    <w:name w:val="Standardní písmo odstavce6"/>
    <w:qFormat/>
  </w:style>
  <w:style w:type="character" w:customStyle="1" w:styleId="Standardnpsmoodstavce5">
    <w:name w:val="Standardní písmo odstavce5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Standardnpsmoodstavce4">
    <w:name w:val="Standardní písmo odstavce4"/>
    <w:qFormat/>
  </w:style>
  <w:style w:type="character" w:customStyle="1" w:styleId="Standardnpsmoodstavce3">
    <w:name w:val="Standardní písmo odstavce3"/>
    <w:qFormat/>
  </w:style>
  <w:style w:type="character" w:customStyle="1" w:styleId="Standardnpsmoodstavce2">
    <w:name w:val="Standardní písmo odstavce2"/>
    <w:qFormat/>
  </w:style>
  <w:style w:type="character" w:customStyle="1" w:styleId="Standardnpsmoodstavce1">
    <w:name w:val="Standardní písmo odstavce1"/>
    <w:qFormat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patChar">
    <w:name w:val="Zápatí Char"/>
    <w:qFormat/>
    <w:rPr>
      <w:sz w:val="24"/>
      <w:szCs w:val="24"/>
    </w:rPr>
  </w:style>
  <w:style w:type="character" w:customStyle="1" w:styleId="TextbublinyChar">
    <w:name w:val="Text bubliny Char"/>
    <w:qFormat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qFormat/>
    <w:rPr>
      <w:sz w:val="24"/>
      <w:szCs w:val="24"/>
      <w:lang w:eastAsia="zh-CN"/>
    </w:rPr>
  </w:style>
  <w:style w:type="character" w:styleId="Siln">
    <w:name w:val="Strong"/>
    <w:qFormat/>
    <w:rPr>
      <w:b/>
      <w:bCs/>
    </w:rPr>
  </w:style>
  <w:style w:type="character" w:customStyle="1" w:styleId="BezmezerChar">
    <w:name w:val="Bez mezer Char"/>
    <w:qFormat/>
    <w:rPr>
      <w:rFonts w:ascii="Calibri" w:hAnsi="Calibri" w:cs="Calibri"/>
      <w:sz w:val="22"/>
      <w:szCs w:val="22"/>
      <w:lang w:val="cs-CZ" w:bidi="ar-SA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character" w:customStyle="1" w:styleId="ListLabel1">
    <w:name w:val="ListLabel 1"/>
    <w:qFormat/>
    <w:rPr>
      <w:rFonts w:ascii="Verdana" w:hAnsi="Verdana"/>
      <w:b/>
      <w:bCs/>
      <w:iCs/>
      <w:sz w:val="28"/>
      <w:szCs w:val="28"/>
    </w:rPr>
  </w:style>
  <w:style w:type="character" w:customStyle="1" w:styleId="ListLabel2">
    <w:name w:val="ListLabel 2"/>
    <w:qFormat/>
    <w:rPr>
      <w:rFonts w:ascii="Verdana" w:hAnsi="Verdana"/>
      <w:b/>
      <w:sz w:val="28"/>
      <w:szCs w:val="28"/>
    </w:rPr>
  </w:style>
  <w:style w:type="character" w:customStyle="1" w:styleId="ListLabel3">
    <w:name w:val="ListLabel 3"/>
    <w:qFormat/>
    <w:rPr>
      <w:rFonts w:cs="Verdana"/>
      <w:b/>
      <w:bCs/>
      <w:sz w:val="28"/>
      <w:szCs w:val="28"/>
    </w:rPr>
  </w:style>
  <w:style w:type="character" w:customStyle="1" w:styleId="ListLabel4">
    <w:name w:val="ListLabel 4"/>
    <w:qFormat/>
    <w:rPr>
      <w:rFonts w:ascii="Verdana" w:hAnsi="Verdana"/>
      <w:b/>
      <w:sz w:val="28"/>
      <w:szCs w:val="28"/>
    </w:rPr>
  </w:style>
  <w:style w:type="character" w:customStyle="1" w:styleId="ListLabel5">
    <w:name w:val="ListLabel 5"/>
    <w:qFormat/>
    <w:rPr>
      <w:rFonts w:cs="OpenSymbol"/>
      <w:b/>
      <w:color w:val="00000A"/>
      <w:sz w:val="26"/>
      <w:szCs w:val="26"/>
    </w:rPr>
  </w:style>
  <w:style w:type="character" w:customStyle="1" w:styleId="ListLabel6">
    <w:name w:val="ListLabel 6"/>
    <w:qFormat/>
    <w:rPr>
      <w:rFonts w:cs="OpenSymbol"/>
      <w:color w:val="008000"/>
      <w:sz w:val="26"/>
      <w:szCs w:val="26"/>
    </w:rPr>
  </w:style>
  <w:style w:type="character" w:customStyle="1" w:styleId="ListLabel7">
    <w:name w:val="ListLabel 7"/>
    <w:qFormat/>
    <w:rPr>
      <w:rFonts w:cs="OpenSymbol"/>
      <w:color w:val="008000"/>
      <w:sz w:val="26"/>
      <w:szCs w:val="26"/>
    </w:rPr>
  </w:style>
  <w:style w:type="character" w:customStyle="1" w:styleId="ListLabel8">
    <w:name w:val="ListLabel 8"/>
    <w:qFormat/>
    <w:rPr>
      <w:rFonts w:cs="OpenSymbol"/>
      <w:color w:val="008000"/>
      <w:sz w:val="26"/>
      <w:szCs w:val="26"/>
    </w:rPr>
  </w:style>
  <w:style w:type="character" w:customStyle="1" w:styleId="ListLabel9">
    <w:name w:val="ListLabel 9"/>
    <w:qFormat/>
    <w:rPr>
      <w:rFonts w:cs="OpenSymbol"/>
      <w:color w:val="008000"/>
      <w:sz w:val="26"/>
      <w:szCs w:val="26"/>
    </w:rPr>
  </w:style>
  <w:style w:type="character" w:customStyle="1" w:styleId="ListLabel10">
    <w:name w:val="ListLabel 10"/>
    <w:qFormat/>
    <w:rPr>
      <w:rFonts w:cs="OpenSymbol"/>
      <w:color w:val="008000"/>
      <w:sz w:val="26"/>
      <w:szCs w:val="26"/>
    </w:rPr>
  </w:style>
  <w:style w:type="character" w:customStyle="1" w:styleId="ListLabel11">
    <w:name w:val="ListLabel 11"/>
    <w:qFormat/>
    <w:rPr>
      <w:rFonts w:cs="OpenSymbol"/>
      <w:color w:val="008000"/>
      <w:sz w:val="26"/>
      <w:szCs w:val="26"/>
    </w:rPr>
  </w:style>
  <w:style w:type="character" w:customStyle="1" w:styleId="ListLabel12">
    <w:name w:val="ListLabel 12"/>
    <w:qFormat/>
    <w:rPr>
      <w:rFonts w:cs="OpenSymbol"/>
      <w:color w:val="008000"/>
      <w:sz w:val="26"/>
      <w:szCs w:val="26"/>
    </w:rPr>
  </w:style>
  <w:style w:type="character" w:customStyle="1" w:styleId="ListLabel13">
    <w:name w:val="ListLabel 13"/>
    <w:qFormat/>
    <w:rPr>
      <w:rFonts w:cs="OpenSymbol"/>
      <w:color w:val="008000"/>
      <w:sz w:val="26"/>
      <w:szCs w:val="26"/>
    </w:rPr>
  </w:style>
  <w:style w:type="character" w:customStyle="1" w:styleId="ListLabel14">
    <w:name w:val="ListLabel 14"/>
    <w:qFormat/>
    <w:rPr>
      <w:b/>
      <w:bCs/>
      <w:iCs/>
      <w:sz w:val="24"/>
      <w:szCs w:val="28"/>
    </w:rPr>
  </w:style>
  <w:style w:type="character" w:customStyle="1" w:styleId="ListLabel15">
    <w:name w:val="ListLabel 15"/>
    <w:qFormat/>
    <w:rPr>
      <w:b/>
      <w:sz w:val="28"/>
      <w:szCs w:val="28"/>
    </w:rPr>
  </w:style>
  <w:style w:type="character" w:customStyle="1" w:styleId="ListLabel16">
    <w:name w:val="ListLabel 16"/>
    <w:qFormat/>
    <w:rPr>
      <w:rFonts w:cs="Verdana"/>
      <w:b/>
      <w:bCs/>
      <w:sz w:val="28"/>
      <w:szCs w:val="28"/>
    </w:rPr>
  </w:style>
  <w:style w:type="character" w:customStyle="1" w:styleId="ListLabel17">
    <w:name w:val="ListLabel 17"/>
    <w:qFormat/>
    <w:rPr>
      <w:b/>
      <w:sz w:val="24"/>
      <w:szCs w:val="28"/>
    </w:rPr>
  </w:style>
  <w:style w:type="character" w:customStyle="1" w:styleId="ListLabel18">
    <w:name w:val="ListLabel 18"/>
    <w:qFormat/>
    <w:rPr>
      <w:rFonts w:cs="OpenSymbol"/>
      <w:b/>
      <w:color w:val="00000A"/>
      <w:sz w:val="26"/>
      <w:szCs w:val="26"/>
    </w:rPr>
  </w:style>
  <w:style w:type="character" w:customStyle="1" w:styleId="ListLabel19">
    <w:name w:val="ListLabel 19"/>
    <w:qFormat/>
    <w:rPr>
      <w:rFonts w:cs="OpenSymbol"/>
      <w:color w:val="008000"/>
      <w:sz w:val="26"/>
      <w:szCs w:val="26"/>
    </w:rPr>
  </w:style>
  <w:style w:type="character" w:customStyle="1" w:styleId="ListLabel20">
    <w:name w:val="ListLabel 20"/>
    <w:qFormat/>
    <w:rPr>
      <w:rFonts w:cs="OpenSymbol"/>
      <w:color w:val="008000"/>
      <w:sz w:val="26"/>
      <w:szCs w:val="26"/>
    </w:rPr>
  </w:style>
  <w:style w:type="character" w:customStyle="1" w:styleId="ListLabel21">
    <w:name w:val="ListLabel 21"/>
    <w:qFormat/>
    <w:rPr>
      <w:rFonts w:cs="OpenSymbol"/>
      <w:color w:val="008000"/>
      <w:sz w:val="26"/>
      <w:szCs w:val="26"/>
    </w:rPr>
  </w:style>
  <w:style w:type="character" w:customStyle="1" w:styleId="ListLabel22">
    <w:name w:val="ListLabel 22"/>
    <w:qFormat/>
    <w:rPr>
      <w:rFonts w:cs="OpenSymbol"/>
      <w:color w:val="008000"/>
      <w:sz w:val="26"/>
      <w:szCs w:val="26"/>
    </w:rPr>
  </w:style>
  <w:style w:type="character" w:customStyle="1" w:styleId="ListLabel23">
    <w:name w:val="ListLabel 23"/>
    <w:qFormat/>
    <w:rPr>
      <w:rFonts w:cs="OpenSymbol"/>
      <w:color w:val="008000"/>
      <w:sz w:val="26"/>
      <w:szCs w:val="26"/>
    </w:rPr>
  </w:style>
  <w:style w:type="character" w:customStyle="1" w:styleId="ListLabel24">
    <w:name w:val="ListLabel 24"/>
    <w:qFormat/>
    <w:rPr>
      <w:rFonts w:cs="OpenSymbol"/>
      <w:color w:val="008000"/>
      <w:sz w:val="26"/>
      <w:szCs w:val="26"/>
    </w:rPr>
  </w:style>
  <w:style w:type="character" w:customStyle="1" w:styleId="ListLabel25">
    <w:name w:val="ListLabel 25"/>
    <w:qFormat/>
    <w:rPr>
      <w:rFonts w:cs="OpenSymbol"/>
      <w:color w:val="008000"/>
      <w:sz w:val="26"/>
      <w:szCs w:val="26"/>
    </w:rPr>
  </w:style>
  <w:style w:type="character" w:customStyle="1" w:styleId="ListLabel26">
    <w:name w:val="ListLabel 26"/>
    <w:qFormat/>
    <w:rPr>
      <w:rFonts w:cs="OpenSymbol"/>
      <w:color w:val="008000"/>
      <w:sz w:val="26"/>
      <w:szCs w:val="26"/>
    </w:rPr>
  </w:style>
  <w:style w:type="character" w:customStyle="1" w:styleId="ListLabel27">
    <w:name w:val="ListLabel 27"/>
    <w:qFormat/>
    <w:rPr>
      <w:b/>
      <w:bCs/>
      <w:iCs/>
      <w:sz w:val="24"/>
      <w:szCs w:val="28"/>
    </w:rPr>
  </w:style>
  <w:style w:type="character" w:customStyle="1" w:styleId="ListLabel28">
    <w:name w:val="ListLabel 28"/>
    <w:qFormat/>
    <w:rPr>
      <w:b/>
      <w:sz w:val="28"/>
      <w:szCs w:val="28"/>
    </w:rPr>
  </w:style>
  <w:style w:type="character" w:customStyle="1" w:styleId="ListLabel29">
    <w:name w:val="ListLabel 29"/>
    <w:qFormat/>
    <w:rPr>
      <w:rFonts w:cs="Verdana"/>
      <w:b/>
      <w:bCs/>
      <w:sz w:val="28"/>
      <w:szCs w:val="28"/>
    </w:rPr>
  </w:style>
  <w:style w:type="character" w:customStyle="1" w:styleId="ListLabel30">
    <w:name w:val="ListLabel 30"/>
    <w:qFormat/>
    <w:rPr>
      <w:b/>
      <w:sz w:val="24"/>
      <w:szCs w:val="28"/>
    </w:rPr>
  </w:style>
  <w:style w:type="character" w:customStyle="1" w:styleId="ListLabel31">
    <w:name w:val="ListLabel 31"/>
    <w:qFormat/>
    <w:rPr>
      <w:rFonts w:cs="OpenSymbol"/>
      <w:b/>
      <w:color w:val="00000A"/>
      <w:sz w:val="26"/>
      <w:szCs w:val="26"/>
    </w:rPr>
  </w:style>
  <w:style w:type="character" w:customStyle="1" w:styleId="ListLabel32">
    <w:name w:val="ListLabel 32"/>
    <w:qFormat/>
    <w:rPr>
      <w:rFonts w:cs="OpenSymbol"/>
      <w:color w:val="008000"/>
      <w:sz w:val="26"/>
      <w:szCs w:val="26"/>
    </w:rPr>
  </w:style>
  <w:style w:type="character" w:customStyle="1" w:styleId="ListLabel33">
    <w:name w:val="ListLabel 33"/>
    <w:qFormat/>
    <w:rPr>
      <w:rFonts w:cs="OpenSymbol"/>
      <w:color w:val="008000"/>
      <w:sz w:val="26"/>
      <w:szCs w:val="26"/>
    </w:rPr>
  </w:style>
  <w:style w:type="character" w:customStyle="1" w:styleId="ListLabel34">
    <w:name w:val="ListLabel 34"/>
    <w:qFormat/>
    <w:rPr>
      <w:rFonts w:cs="OpenSymbol"/>
      <w:color w:val="008000"/>
      <w:sz w:val="26"/>
      <w:szCs w:val="26"/>
    </w:rPr>
  </w:style>
  <w:style w:type="character" w:customStyle="1" w:styleId="ListLabel35">
    <w:name w:val="ListLabel 35"/>
    <w:qFormat/>
    <w:rPr>
      <w:rFonts w:cs="OpenSymbol"/>
      <w:color w:val="008000"/>
      <w:sz w:val="26"/>
      <w:szCs w:val="26"/>
    </w:rPr>
  </w:style>
  <w:style w:type="character" w:customStyle="1" w:styleId="ListLabel36">
    <w:name w:val="ListLabel 36"/>
    <w:qFormat/>
    <w:rPr>
      <w:rFonts w:cs="OpenSymbol"/>
      <w:color w:val="008000"/>
      <w:sz w:val="26"/>
      <w:szCs w:val="26"/>
    </w:rPr>
  </w:style>
  <w:style w:type="character" w:customStyle="1" w:styleId="ListLabel37">
    <w:name w:val="ListLabel 37"/>
    <w:qFormat/>
    <w:rPr>
      <w:rFonts w:cs="OpenSymbol"/>
      <w:color w:val="008000"/>
      <w:sz w:val="26"/>
      <w:szCs w:val="26"/>
    </w:rPr>
  </w:style>
  <w:style w:type="character" w:customStyle="1" w:styleId="ListLabel38">
    <w:name w:val="ListLabel 38"/>
    <w:qFormat/>
    <w:rPr>
      <w:rFonts w:cs="OpenSymbol"/>
      <w:color w:val="008000"/>
      <w:sz w:val="26"/>
      <w:szCs w:val="26"/>
    </w:rPr>
  </w:style>
  <w:style w:type="character" w:customStyle="1" w:styleId="ListLabel39">
    <w:name w:val="ListLabel 39"/>
    <w:qFormat/>
    <w:rPr>
      <w:rFonts w:cs="OpenSymbol"/>
      <w:color w:val="008000"/>
      <w:sz w:val="26"/>
      <w:szCs w:val="26"/>
    </w:rPr>
  </w:style>
  <w:style w:type="character" w:customStyle="1" w:styleId="ListLabel40">
    <w:name w:val="ListLabel 40"/>
    <w:qFormat/>
    <w:rPr>
      <w:b/>
      <w:bCs/>
      <w:iCs/>
      <w:sz w:val="24"/>
      <w:szCs w:val="28"/>
    </w:rPr>
  </w:style>
  <w:style w:type="character" w:customStyle="1" w:styleId="ListLabel41">
    <w:name w:val="ListLabel 41"/>
    <w:qFormat/>
    <w:rPr>
      <w:b/>
      <w:sz w:val="28"/>
      <w:szCs w:val="28"/>
    </w:rPr>
  </w:style>
  <w:style w:type="character" w:customStyle="1" w:styleId="ListLabel42">
    <w:name w:val="ListLabel 42"/>
    <w:qFormat/>
    <w:rPr>
      <w:rFonts w:cs="Verdana"/>
      <w:b/>
      <w:bCs/>
      <w:sz w:val="28"/>
      <w:szCs w:val="28"/>
    </w:rPr>
  </w:style>
  <w:style w:type="character" w:customStyle="1" w:styleId="ListLabel43">
    <w:name w:val="ListLabel 43"/>
    <w:qFormat/>
    <w:rPr>
      <w:b/>
      <w:sz w:val="24"/>
      <w:szCs w:val="28"/>
    </w:rPr>
  </w:style>
  <w:style w:type="character" w:customStyle="1" w:styleId="ListLabel44">
    <w:name w:val="ListLabel 44"/>
    <w:qFormat/>
    <w:rPr>
      <w:rFonts w:cs="OpenSymbol"/>
      <w:b/>
      <w:color w:val="00000A"/>
      <w:sz w:val="26"/>
      <w:szCs w:val="26"/>
    </w:rPr>
  </w:style>
  <w:style w:type="character" w:customStyle="1" w:styleId="ListLabel45">
    <w:name w:val="ListLabel 45"/>
    <w:qFormat/>
    <w:rPr>
      <w:rFonts w:cs="OpenSymbol"/>
      <w:color w:val="008000"/>
      <w:sz w:val="26"/>
      <w:szCs w:val="26"/>
    </w:rPr>
  </w:style>
  <w:style w:type="character" w:customStyle="1" w:styleId="ListLabel46">
    <w:name w:val="ListLabel 46"/>
    <w:qFormat/>
    <w:rPr>
      <w:rFonts w:cs="OpenSymbol"/>
      <w:color w:val="008000"/>
      <w:sz w:val="26"/>
      <w:szCs w:val="26"/>
    </w:rPr>
  </w:style>
  <w:style w:type="character" w:customStyle="1" w:styleId="ListLabel47">
    <w:name w:val="ListLabel 47"/>
    <w:qFormat/>
    <w:rPr>
      <w:rFonts w:cs="OpenSymbol"/>
      <w:color w:val="008000"/>
      <w:sz w:val="26"/>
      <w:szCs w:val="26"/>
    </w:rPr>
  </w:style>
  <w:style w:type="character" w:customStyle="1" w:styleId="ListLabel48">
    <w:name w:val="ListLabel 48"/>
    <w:qFormat/>
    <w:rPr>
      <w:rFonts w:cs="OpenSymbol"/>
      <w:color w:val="008000"/>
      <w:sz w:val="26"/>
      <w:szCs w:val="26"/>
    </w:rPr>
  </w:style>
  <w:style w:type="character" w:customStyle="1" w:styleId="ListLabel49">
    <w:name w:val="ListLabel 49"/>
    <w:qFormat/>
    <w:rPr>
      <w:rFonts w:cs="OpenSymbol"/>
      <w:color w:val="008000"/>
      <w:sz w:val="26"/>
      <w:szCs w:val="26"/>
    </w:rPr>
  </w:style>
  <w:style w:type="character" w:customStyle="1" w:styleId="ListLabel50">
    <w:name w:val="ListLabel 50"/>
    <w:qFormat/>
    <w:rPr>
      <w:rFonts w:cs="OpenSymbol"/>
      <w:color w:val="008000"/>
      <w:sz w:val="26"/>
      <w:szCs w:val="26"/>
    </w:rPr>
  </w:style>
  <w:style w:type="character" w:customStyle="1" w:styleId="ListLabel51">
    <w:name w:val="ListLabel 51"/>
    <w:qFormat/>
    <w:rPr>
      <w:rFonts w:cs="OpenSymbol"/>
      <w:color w:val="008000"/>
      <w:sz w:val="26"/>
      <w:szCs w:val="26"/>
    </w:rPr>
  </w:style>
  <w:style w:type="character" w:customStyle="1" w:styleId="ListLabel52">
    <w:name w:val="ListLabel 52"/>
    <w:qFormat/>
    <w:rPr>
      <w:rFonts w:cs="OpenSymbol"/>
      <w:color w:val="008000"/>
      <w:sz w:val="26"/>
      <w:szCs w:val="26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Titulek6">
    <w:name w:val="Titulek6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5">
    <w:name w:val="Titulek5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4">
    <w:name w:val="Titulek4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3">
    <w:name w:val="Titulek3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2">
    <w:name w:val="Titulek2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styleId="Textbubliny">
    <w:name w:val="Balloon Text"/>
    <w:basedOn w:val="Normln"/>
    <w:qFormat/>
    <w:rPr>
      <w:rFonts w:ascii="Segoe UI" w:hAnsi="Segoe UI" w:cs="Segoe UI"/>
      <w:sz w:val="18"/>
      <w:szCs w:val="18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Bezmezer">
    <w:name w:val="No Spacing"/>
    <w:qFormat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4219</Words>
  <Characters>24893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</vt:lpstr>
    </vt:vector>
  </TitlesOfParts>
  <Company/>
  <LinksUpToDate>false</LinksUpToDate>
  <CharactersWithSpaces>29054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</dc:title>
  <dc:subject/>
  <dc:creator>dockal</dc:creator>
  <dc:description/>
  <cp:lastModifiedBy>Radim Sláma</cp:lastModifiedBy>
  <cp:revision>5</cp:revision>
  <cp:lastPrinted>2016-03-19T13:50:00Z</cp:lastPrinted>
  <dcterms:created xsi:type="dcterms:W3CDTF">2020-11-09T14:17:00Z</dcterms:created>
  <dcterms:modified xsi:type="dcterms:W3CDTF">2020-11-09T14:32:00Z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