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95A561" w14:textId="2978F0B5" w:rsidR="00970AC8" w:rsidRDefault="00EB13F5">
      <w:pPr>
        <w:rPr>
          <w:rFonts w:ascii="Segoe UI" w:hAnsi="Segoe UI" w:cs="Segoe UI"/>
          <w:u w:val="single"/>
        </w:rPr>
      </w:pPr>
      <w:r w:rsidRPr="00EB13F5">
        <w:rPr>
          <w:rFonts w:ascii="Segoe UI" w:hAnsi="Segoe UI" w:cs="Segoe UI"/>
          <w:u w:val="single"/>
        </w:rPr>
        <w:t xml:space="preserve">Odpověď </w:t>
      </w:r>
      <w:proofErr w:type="spellStart"/>
      <w:r>
        <w:rPr>
          <w:rFonts w:ascii="Segoe UI" w:hAnsi="Segoe UI" w:cs="Segoe UI"/>
          <w:u w:val="single"/>
        </w:rPr>
        <w:t>BigBoard</w:t>
      </w:r>
      <w:proofErr w:type="spellEnd"/>
      <w:r>
        <w:rPr>
          <w:rFonts w:ascii="Segoe UI" w:hAnsi="Segoe UI" w:cs="Segoe UI"/>
          <w:u w:val="single"/>
        </w:rPr>
        <w:t xml:space="preserve"> Praha, a.s.:</w:t>
      </w:r>
    </w:p>
    <w:p w14:paraId="1FC0CE3A" w14:textId="77777777" w:rsidR="00EB13F5" w:rsidRDefault="00EB13F5" w:rsidP="00EB13F5"/>
    <w:p w14:paraId="697776A0" w14:textId="642CA4F2" w:rsidR="00EB13F5" w:rsidRDefault="00EB13F5" w:rsidP="00EB13F5">
      <w:r>
        <w:t>Vážený pane doktore,</w:t>
      </w:r>
    </w:p>
    <w:p w14:paraId="270EB4AA" w14:textId="77777777" w:rsidR="00EB13F5" w:rsidRDefault="00EB13F5" w:rsidP="00EB13F5"/>
    <w:p w14:paraId="7A359DBE" w14:textId="77777777" w:rsidR="00EB13F5" w:rsidRDefault="00EB13F5" w:rsidP="00EB13F5">
      <w:r>
        <w:t>v souvislosti s Vašimi dotazy zaslanými naší společnosti prostřednictvím Výzvy k předběžné tržní konzultaci, reagujeme Vámi preferovanou cestou prostřednictvím emailu a odpovídáme na Vaše dotazy.</w:t>
      </w:r>
    </w:p>
    <w:p w14:paraId="75F186DE" w14:textId="77777777" w:rsidR="00EB13F5" w:rsidRDefault="00EB13F5" w:rsidP="00EB13F5"/>
    <w:p w14:paraId="4DCFF4CC" w14:textId="77777777" w:rsidR="00EB13F5" w:rsidRDefault="00EB13F5" w:rsidP="00EB13F5">
      <w:pPr>
        <w:pStyle w:val="Odstavecseseznamem"/>
        <w:numPr>
          <w:ilvl w:val="0"/>
          <w:numId w:val="1"/>
        </w:numPr>
      </w:pPr>
      <w:r>
        <w:t xml:space="preserve">Určení lhůty k instalaci a zprovoznění mobiliáře bude závislé na skutečnosti, zda se bude jednat o místa již k tomuto účelu </w:t>
      </w:r>
      <w:proofErr w:type="gramStart"/>
      <w:r>
        <w:t>využívaná</w:t>
      </w:r>
      <w:proofErr w:type="gramEnd"/>
      <w:r>
        <w:t xml:space="preserve"> a tedy pravděpodobně i v minulosti úřady povolená nebo o zcela nové lokality. Pro první případ předpokládáme lhůtu cca 3 měsíce, v druhém případě cca </w:t>
      </w:r>
      <w:proofErr w:type="gramStart"/>
      <w:r>
        <w:t>6 – 9</w:t>
      </w:r>
      <w:proofErr w:type="gramEnd"/>
      <w:r>
        <w:t xml:space="preserve"> měsíců.</w:t>
      </w:r>
    </w:p>
    <w:p w14:paraId="3DEF2394" w14:textId="77777777" w:rsidR="00EB13F5" w:rsidRDefault="00EB13F5" w:rsidP="00EB13F5">
      <w:pPr>
        <w:pStyle w:val="Odstavecseseznamem"/>
      </w:pPr>
    </w:p>
    <w:p w14:paraId="1A34CD12" w14:textId="77777777" w:rsidR="00EB13F5" w:rsidRDefault="00EB13F5" w:rsidP="00EB13F5">
      <w:pPr>
        <w:pStyle w:val="Odstavecseseznamem"/>
        <w:numPr>
          <w:ilvl w:val="0"/>
          <w:numId w:val="1"/>
        </w:numPr>
      </w:pPr>
      <w:r>
        <w:t>Nepreferujeme žádnou z variant platby, nechali bychom to zcela na uvážení zadavatele.</w:t>
      </w:r>
    </w:p>
    <w:p w14:paraId="76ABD904" w14:textId="77777777" w:rsidR="00EB13F5" w:rsidRDefault="00EB13F5" w:rsidP="00EB13F5">
      <w:pPr>
        <w:pStyle w:val="Odstavecseseznamem"/>
      </w:pPr>
    </w:p>
    <w:p w14:paraId="39B17879" w14:textId="77777777" w:rsidR="00EB13F5" w:rsidRDefault="00EB13F5" w:rsidP="00EB13F5">
      <w:pPr>
        <w:pStyle w:val="Odstavecseseznamem"/>
        <w:numPr>
          <w:ilvl w:val="0"/>
          <w:numId w:val="1"/>
        </w:numPr>
      </w:pPr>
      <w:r>
        <w:t xml:space="preserve">Pro bližší seznámení se záměrem zadavatele a jeho následné posouzení by bylo účelné disponovat seznamem lokalit, přesnější specifikací typu zastávkového přístřešku (základní varianta, prodloužená, oboustranná, atp.), dokumentací ke stávajícím základům, informacemi o možnosti připojení na el. energii/využitelnosti stávající el. přípojky, požadavky na vybavení zastávky, </w:t>
      </w:r>
      <w:proofErr w:type="gramStart"/>
      <w:r>
        <w:t>atp..</w:t>
      </w:r>
      <w:proofErr w:type="gramEnd"/>
    </w:p>
    <w:p w14:paraId="686783E9" w14:textId="77777777" w:rsidR="00EB13F5" w:rsidRDefault="00EB13F5" w:rsidP="00EB13F5">
      <w:pPr>
        <w:pStyle w:val="Odstavecseseznamem"/>
      </w:pPr>
    </w:p>
    <w:p w14:paraId="663C6632" w14:textId="77777777" w:rsidR="00EB13F5" w:rsidRDefault="00EB13F5" w:rsidP="00EB13F5">
      <w:pPr>
        <w:pStyle w:val="Odstavecseseznamem"/>
        <w:numPr>
          <w:ilvl w:val="0"/>
          <w:numId w:val="1"/>
        </w:numPr>
      </w:pPr>
      <w:r>
        <w:t>Po skončení smluvního vztahu lze doporučit převod městského mobiliáře na zadavatele, přičemž bude třeba s ohledem na počáteční investici počítat s tím, že výše zůstatkové ceny bude závislá na délce trvání smluvního vztahu.  Pokud se jedná o možnost oddělení režimu zastávkových přístřešků a CLV, zdá se nám praktičtější převádět na zadavatele pouze zastávkové přístřešky.</w:t>
      </w:r>
    </w:p>
    <w:p w14:paraId="3629833A" w14:textId="77777777" w:rsidR="00EB13F5" w:rsidRDefault="00EB13F5" w:rsidP="00EB13F5">
      <w:pPr>
        <w:pStyle w:val="Odstavecseseznamem"/>
      </w:pPr>
    </w:p>
    <w:p w14:paraId="719C1398" w14:textId="77777777" w:rsidR="00EB13F5" w:rsidRDefault="00EB13F5" w:rsidP="00EB13F5">
      <w:pPr>
        <w:pStyle w:val="Odstavecseseznamem"/>
        <w:numPr>
          <w:ilvl w:val="0"/>
          <w:numId w:val="1"/>
        </w:numPr>
      </w:pPr>
      <w:r>
        <w:t>Hodnocení jednotlivých nabídek i dle kritéria, které bude zohledňovat vzhled zastávkových přístřešků umísťovaných v městské památkové rezervaci, považujeme za rozumné. S ohledem na počet zastávkových přístřešků bude třeba jejich citlivé začlenění do historické části města s důrazem na inspiraci okolním prostředím.       </w:t>
      </w:r>
    </w:p>
    <w:p w14:paraId="61C230C6" w14:textId="77777777" w:rsidR="00EB13F5" w:rsidRDefault="00EB13F5" w:rsidP="00EB13F5"/>
    <w:p w14:paraId="71D5F64A" w14:textId="77777777" w:rsidR="00EB13F5" w:rsidRDefault="00EB13F5" w:rsidP="00EB13F5">
      <w:r>
        <w:t>V případě jakýchkoli doplňujících dotazů jsem Vám k dispozici.</w:t>
      </w:r>
    </w:p>
    <w:p w14:paraId="38567755" w14:textId="77777777" w:rsidR="00EB13F5" w:rsidRDefault="00EB13F5" w:rsidP="00EB13F5"/>
    <w:p w14:paraId="30F330EF" w14:textId="772A8C4A" w:rsidR="00EB13F5" w:rsidRDefault="00EB13F5" w:rsidP="00EB13F5">
      <w:r>
        <w:t>S</w:t>
      </w:r>
      <w:r>
        <w:t> </w:t>
      </w:r>
      <w:r>
        <w:t>pozdravem</w:t>
      </w:r>
    </w:p>
    <w:p w14:paraId="0A0803B7" w14:textId="77777777" w:rsidR="00EB13F5" w:rsidRPr="00EB13F5" w:rsidRDefault="00EB13F5" w:rsidP="00EB13F5"/>
    <w:p w14:paraId="7CA91F01" w14:textId="77777777" w:rsidR="00EB13F5" w:rsidRDefault="00EB13F5" w:rsidP="00EB13F5">
      <w:pPr>
        <w:rPr>
          <w:rFonts w:ascii="Arial" w:hAnsi="Arial" w:cs="Arial"/>
          <w:b/>
          <w:bCs/>
          <w:color w:val="595959"/>
          <w:sz w:val="20"/>
          <w:szCs w:val="20"/>
          <w:lang w:eastAsia="cs-CZ"/>
        </w:rPr>
      </w:pPr>
      <w:proofErr w:type="spellStart"/>
      <w:r>
        <w:rPr>
          <w:rFonts w:ascii="Arial" w:hAnsi="Arial" w:cs="Arial"/>
          <w:b/>
          <w:bCs/>
          <w:color w:val="595959"/>
          <w:sz w:val="20"/>
          <w:szCs w:val="20"/>
          <w:lang w:eastAsia="cs-CZ"/>
        </w:rPr>
        <w:t>BigBoard</w:t>
      </w:r>
      <w:proofErr w:type="spellEnd"/>
      <w:r>
        <w:rPr>
          <w:rFonts w:ascii="Arial" w:hAnsi="Arial" w:cs="Arial"/>
          <w:b/>
          <w:bCs/>
          <w:color w:val="595959"/>
          <w:sz w:val="20"/>
          <w:szCs w:val="20"/>
          <w:lang w:eastAsia="cs-CZ"/>
        </w:rPr>
        <w:t xml:space="preserve"> Praha, a.s. </w:t>
      </w:r>
    </w:p>
    <w:p w14:paraId="7F1775ED" w14:textId="77777777" w:rsidR="00EB13F5" w:rsidRDefault="00EB13F5" w:rsidP="00EB13F5">
      <w:pPr>
        <w:rPr>
          <w:rFonts w:ascii="Arial" w:hAnsi="Arial" w:cs="Arial"/>
          <w:color w:val="595959"/>
          <w:sz w:val="20"/>
          <w:szCs w:val="20"/>
          <w:lang w:eastAsia="cs-CZ"/>
        </w:rPr>
      </w:pPr>
      <w:r>
        <w:rPr>
          <w:rFonts w:ascii="Arial" w:hAnsi="Arial" w:cs="Arial"/>
          <w:color w:val="595959"/>
          <w:sz w:val="20"/>
          <w:szCs w:val="20"/>
          <w:lang w:eastAsia="cs-CZ"/>
        </w:rPr>
        <w:t>Budova TRIMARAN, Na strži 2097/63, 140 00 Praha 4</w:t>
      </w:r>
    </w:p>
    <w:p w14:paraId="76529C01" w14:textId="3654F615" w:rsidR="00EB13F5" w:rsidRPr="00EB13F5" w:rsidRDefault="00EB13F5" w:rsidP="00EB13F5">
      <w:pPr>
        <w:rPr>
          <w:rFonts w:ascii="Arial" w:hAnsi="Arial" w:cs="Arial"/>
          <w:color w:val="404040"/>
          <w:sz w:val="20"/>
          <w:szCs w:val="20"/>
          <w:lang w:eastAsia="cs-CZ"/>
        </w:rPr>
      </w:pPr>
      <w:r>
        <w:rPr>
          <w:rFonts w:ascii="Arial" w:hAnsi="Arial" w:cs="Arial"/>
          <w:b/>
          <w:bCs/>
          <w:color w:val="595959"/>
          <w:sz w:val="20"/>
          <w:szCs w:val="20"/>
          <w:lang w:eastAsia="cs-CZ"/>
        </w:rPr>
        <w:t xml:space="preserve">web: </w:t>
      </w:r>
      <w:hyperlink r:id="rId5" w:history="1">
        <w:r>
          <w:rPr>
            <w:rStyle w:val="Hypertextovodkaz"/>
            <w:rFonts w:ascii="Arial" w:hAnsi="Arial" w:cs="Arial"/>
            <w:color w:val="595959"/>
            <w:sz w:val="20"/>
            <w:szCs w:val="20"/>
            <w:lang w:eastAsia="cs-CZ"/>
          </w:rPr>
          <w:t>www.bigboard.cz</w:t>
        </w:r>
      </w:hyperlink>
    </w:p>
    <w:p w14:paraId="07606B1B" w14:textId="74715F90" w:rsidR="00EB13F5" w:rsidRPr="00EB13F5" w:rsidRDefault="00EB13F5">
      <w:pPr>
        <w:rPr>
          <w:rFonts w:ascii="Segoe UI" w:hAnsi="Segoe UI" w:cs="Segoe UI"/>
          <w:u w:val="single"/>
        </w:rPr>
      </w:pPr>
      <w:r>
        <w:rPr>
          <w:noProof/>
          <w:color w:val="000000"/>
          <w:lang w:eastAsia="cs-CZ"/>
        </w:rPr>
        <w:drawing>
          <wp:inline distT="0" distB="0" distL="0" distR="0" wp14:anchorId="77CC08B8" wp14:editId="6B4BCE52">
            <wp:extent cx="5229225" cy="495300"/>
            <wp:effectExtent l="0" t="0" r="9525" b="0"/>
            <wp:docPr id="4" name="Obrázek 4" descr="Pod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Podpis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92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B13F5" w:rsidRPr="00EB13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F16339"/>
    <w:multiLevelType w:val="hybridMultilevel"/>
    <w:tmpl w:val="DFE2761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8A2"/>
    <w:rsid w:val="00970AC8"/>
    <w:rsid w:val="00EB13F5"/>
    <w:rsid w:val="00F61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98BF5"/>
  <w15:chartTrackingRefBased/>
  <w15:docId w15:val="{3D6CD324-FBF0-4A6A-9385-ED11D9414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EB13F5"/>
    <w:rPr>
      <w:color w:val="0563C1"/>
      <w:u w:val="single"/>
    </w:rPr>
  </w:style>
  <w:style w:type="paragraph" w:styleId="Odstavecseseznamem">
    <w:name w:val="List Paragraph"/>
    <w:basedOn w:val="Normln"/>
    <w:uiPriority w:val="34"/>
    <w:qFormat/>
    <w:rsid w:val="00EB13F5"/>
    <w:pPr>
      <w:spacing w:after="0" w:line="240" w:lineRule="auto"/>
      <w:ind w:left="7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829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cid:image001.png@01D698CA.B2ED24F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bigboard.cz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278</Words>
  <Characters>1645</Characters>
  <Application>Microsoft Office Word</Application>
  <DocSecurity>0</DocSecurity>
  <Lines>13</Lines>
  <Paragraphs>3</Paragraphs>
  <ScaleCrop>false</ScaleCrop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Burdová</dc:creator>
  <cp:keywords/>
  <dc:description/>
  <cp:lastModifiedBy>Eva Burdová</cp:lastModifiedBy>
  <cp:revision>2</cp:revision>
  <dcterms:created xsi:type="dcterms:W3CDTF">2021-03-30T09:06:00Z</dcterms:created>
  <dcterms:modified xsi:type="dcterms:W3CDTF">2021-03-30T09:14:00Z</dcterms:modified>
</cp:coreProperties>
</file>