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5247" w14:textId="77777777" w:rsidR="00AA4A4D" w:rsidRDefault="00AA4A4D">
      <w:pPr>
        <w:pStyle w:val="Normlnweb"/>
        <w:spacing w:before="0" w:line="300" w:lineRule="auto"/>
        <w:rPr>
          <w:rFonts w:ascii="Arial" w:hAnsi="Arial" w:cs="Arial"/>
          <w:sz w:val="20"/>
          <w:szCs w:val="20"/>
        </w:rPr>
      </w:pPr>
    </w:p>
    <w:p w14:paraId="018E5248" w14:textId="77777777" w:rsidR="00AA4A4D" w:rsidRDefault="000F3D79">
      <w:pPr>
        <w:pStyle w:val="Normlnweb"/>
        <w:spacing w:before="0" w:after="120" w:line="300" w:lineRule="auto"/>
        <w:jc w:val="center"/>
        <w:rPr>
          <w:rFonts w:ascii="Arial" w:hAnsi="Arial" w:cs="Arial"/>
          <w:b/>
          <w:bCs/>
          <w:sz w:val="28"/>
          <w:szCs w:val="28"/>
        </w:rPr>
      </w:pPr>
      <w:r>
        <w:rPr>
          <w:rFonts w:ascii="Arial" w:hAnsi="Arial" w:cs="Arial"/>
          <w:b/>
          <w:bCs/>
          <w:sz w:val="28"/>
          <w:szCs w:val="28"/>
        </w:rPr>
        <w:t>Smlouva o společnosti</w:t>
      </w:r>
    </w:p>
    <w:p w14:paraId="018E5249" w14:textId="77777777" w:rsidR="00AA4A4D" w:rsidRDefault="000F3D79">
      <w:pPr>
        <w:pStyle w:val="Normlnweb"/>
        <w:spacing w:before="0" w:line="300" w:lineRule="auto"/>
        <w:jc w:val="center"/>
        <w:rPr>
          <w:rFonts w:ascii="Arial" w:hAnsi="Arial" w:cs="Arial"/>
          <w:sz w:val="22"/>
          <w:szCs w:val="22"/>
        </w:rPr>
      </w:pPr>
      <w:r>
        <w:rPr>
          <w:rFonts w:ascii="Arial" w:hAnsi="Arial" w:cs="Arial"/>
          <w:sz w:val="22"/>
          <w:szCs w:val="22"/>
        </w:rPr>
        <w:t>uzavřená podle ustanovení § 2716 a násl. zákona č. 89/2012 Sb., občanský zákoník, ve znění pozdějších předpisů (dále jen „</w:t>
      </w:r>
      <w:r>
        <w:rPr>
          <w:rFonts w:ascii="Arial" w:hAnsi="Arial" w:cs="Arial"/>
          <w:b/>
          <w:bCs/>
          <w:sz w:val="22"/>
          <w:szCs w:val="22"/>
        </w:rPr>
        <w:t>občanský zákoník</w:t>
      </w:r>
      <w:r>
        <w:rPr>
          <w:rFonts w:ascii="Arial" w:hAnsi="Arial" w:cs="Arial"/>
          <w:sz w:val="22"/>
          <w:szCs w:val="22"/>
        </w:rPr>
        <w:t>“) uzavřená níže uvedeného dne, měsíce a roku:</w:t>
      </w:r>
    </w:p>
    <w:p w14:paraId="018E524A" w14:textId="77777777" w:rsidR="00AA4A4D" w:rsidRDefault="00AA4A4D">
      <w:pPr>
        <w:pStyle w:val="Normlnweb"/>
        <w:spacing w:before="0" w:line="300" w:lineRule="auto"/>
        <w:jc w:val="center"/>
        <w:rPr>
          <w:rFonts w:ascii="Arial" w:hAnsi="Arial" w:cs="Arial"/>
          <w:sz w:val="22"/>
          <w:szCs w:val="22"/>
        </w:rPr>
      </w:pPr>
    </w:p>
    <w:p w14:paraId="018E524B" w14:textId="77777777" w:rsidR="00AA4A4D" w:rsidRDefault="000F3D79">
      <w:pPr>
        <w:pStyle w:val="Normlnweb"/>
        <w:spacing w:before="0" w:line="300" w:lineRule="auto"/>
        <w:jc w:val="center"/>
        <w:rPr>
          <w:rFonts w:ascii="Arial" w:hAnsi="Arial" w:cs="Arial"/>
          <w:sz w:val="22"/>
          <w:szCs w:val="22"/>
        </w:rPr>
      </w:pPr>
      <w:r>
        <w:rPr>
          <w:rFonts w:ascii="Arial" w:hAnsi="Arial" w:cs="Arial"/>
          <w:sz w:val="22"/>
          <w:szCs w:val="22"/>
        </w:rPr>
        <w:t>ev. č. smlouvy u …….</w:t>
      </w:r>
    </w:p>
    <w:p w14:paraId="018E524C" w14:textId="77777777" w:rsidR="00AA4A4D" w:rsidRDefault="000F3D79">
      <w:pPr>
        <w:pStyle w:val="Normlnweb"/>
        <w:spacing w:before="0" w:line="300" w:lineRule="auto"/>
        <w:jc w:val="center"/>
        <w:rPr>
          <w:rFonts w:ascii="Arial" w:hAnsi="Arial" w:cs="Arial"/>
          <w:sz w:val="22"/>
          <w:szCs w:val="22"/>
        </w:rPr>
      </w:pPr>
      <w:r>
        <w:rPr>
          <w:rFonts w:ascii="Arial" w:hAnsi="Arial" w:cs="Arial"/>
          <w:sz w:val="22"/>
          <w:szCs w:val="22"/>
        </w:rPr>
        <w:t>ev. č. smlouvy u ………..</w:t>
      </w:r>
    </w:p>
    <w:p w14:paraId="018E524D" w14:textId="77777777" w:rsidR="00AA4A4D" w:rsidRDefault="00AA4A4D">
      <w:pPr>
        <w:pStyle w:val="Normlnweb"/>
        <w:spacing w:before="0" w:line="300" w:lineRule="auto"/>
        <w:rPr>
          <w:rFonts w:ascii="Arial" w:hAnsi="Arial" w:cs="Arial"/>
          <w:b/>
          <w:sz w:val="20"/>
          <w:szCs w:val="20"/>
        </w:rPr>
      </w:pPr>
    </w:p>
    <w:p w14:paraId="018E524E" w14:textId="77777777" w:rsidR="00AA4A4D" w:rsidRDefault="000F3D79">
      <w:pPr>
        <w:pStyle w:val="Nadpis1"/>
      </w:pPr>
      <w:r>
        <w:t xml:space="preserve">Smluvní strany – společníci </w:t>
      </w:r>
      <w:r>
        <w:rPr>
          <w:sz w:val="20"/>
          <w:szCs w:val="20"/>
        </w:rPr>
        <w:tab/>
      </w:r>
      <w:r>
        <w:rPr>
          <w:sz w:val="20"/>
          <w:szCs w:val="20"/>
        </w:rPr>
        <w:tab/>
      </w:r>
    </w:p>
    <w:p w14:paraId="018E524F" w14:textId="77777777" w:rsidR="00AA4A4D" w:rsidRDefault="000F3D79">
      <w:pPr>
        <w:pStyle w:val="Normlnweb"/>
        <w:spacing w:line="300" w:lineRule="auto"/>
        <w:rPr>
          <w:rFonts w:ascii="Arial" w:hAnsi="Arial" w:cs="Arial"/>
          <w:b/>
          <w:bCs/>
          <w:sz w:val="22"/>
          <w:szCs w:val="22"/>
        </w:rPr>
      </w:pPr>
      <w:r>
        <w:rPr>
          <w:rFonts w:ascii="Arial" w:hAnsi="Arial" w:cs="Arial"/>
          <w:b/>
          <w:bCs/>
          <w:sz w:val="22"/>
          <w:szCs w:val="22"/>
        </w:rPr>
        <w:t>…………………………………….…</w:t>
      </w:r>
    </w:p>
    <w:p w14:paraId="018E5250" w14:textId="77777777" w:rsidR="00AA4A4D" w:rsidRDefault="000F3D79">
      <w:pPr>
        <w:pStyle w:val="Normlnweb"/>
        <w:spacing w:line="300" w:lineRule="auto"/>
        <w:rPr>
          <w:rFonts w:ascii="Arial" w:hAnsi="Arial" w:cs="Arial"/>
          <w:sz w:val="22"/>
          <w:szCs w:val="22"/>
        </w:rPr>
      </w:pPr>
      <w:r>
        <w:rPr>
          <w:rFonts w:ascii="Arial" w:hAnsi="Arial" w:cs="Arial"/>
          <w:sz w:val="22"/>
          <w:szCs w:val="22"/>
        </w:rPr>
        <w:t>zapsaný v obchodním rejstříku vedeném Krajským soudem v …….., v oddíle …, vložka …..</w:t>
      </w:r>
    </w:p>
    <w:p w14:paraId="018E5251" w14:textId="77777777" w:rsidR="00AA4A4D" w:rsidRDefault="000F3D79">
      <w:pPr>
        <w:pStyle w:val="Normlnweb"/>
        <w:spacing w:line="300" w:lineRule="auto"/>
        <w:rPr>
          <w:rFonts w:ascii="Arial" w:hAnsi="Arial" w:cs="Arial"/>
          <w:b/>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8E5252" w14:textId="77777777" w:rsidR="00AA4A4D" w:rsidRDefault="000F3D79">
      <w:pPr>
        <w:pStyle w:val="Normlnweb"/>
        <w:spacing w:line="300" w:lineRule="auto"/>
        <w:rPr>
          <w:rFonts w:ascii="Arial" w:hAnsi="Arial" w:cs="Arial"/>
          <w:b/>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8E5253" w14:textId="77777777" w:rsidR="00AA4A4D" w:rsidRDefault="000F3D79">
      <w:pPr>
        <w:pStyle w:val="Normlnweb"/>
        <w:spacing w:line="300" w:lineRule="auto"/>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8E5254" w14:textId="77777777" w:rsidR="00AA4A4D" w:rsidRDefault="000F3D79">
      <w:pPr>
        <w:pStyle w:val="Normlnweb"/>
        <w:spacing w:before="0" w:line="300" w:lineRule="auto"/>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t>……………………………………...</w:t>
      </w:r>
    </w:p>
    <w:p w14:paraId="018E5255" w14:textId="77777777" w:rsidR="00AA4A4D" w:rsidRDefault="00AA4A4D">
      <w:pPr>
        <w:pStyle w:val="Normlnweb"/>
        <w:spacing w:before="0" w:line="300" w:lineRule="auto"/>
        <w:rPr>
          <w:rFonts w:ascii="Arial" w:hAnsi="Arial" w:cs="Arial"/>
          <w:sz w:val="22"/>
          <w:szCs w:val="22"/>
        </w:rPr>
      </w:pPr>
    </w:p>
    <w:p w14:paraId="018E5256" w14:textId="77777777" w:rsidR="00AA4A4D" w:rsidRDefault="000F3D79">
      <w:pPr>
        <w:pStyle w:val="Normlnweb"/>
        <w:spacing w:before="0" w:line="300" w:lineRule="auto"/>
        <w:rPr>
          <w:rFonts w:ascii="Arial" w:hAnsi="Arial" w:cs="Arial"/>
          <w:sz w:val="22"/>
          <w:szCs w:val="22"/>
        </w:rPr>
      </w:pPr>
      <w:r>
        <w:rPr>
          <w:rFonts w:ascii="Arial" w:hAnsi="Arial" w:cs="Arial"/>
          <w:sz w:val="22"/>
          <w:szCs w:val="22"/>
        </w:rPr>
        <w:t>(dále jen „</w:t>
      </w:r>
      <w:r>
        <w:rPr>
          <w:rFonts w:ascii="Arial" w:hAnsi="Arial" w:cs="Arial"/>
          <w:b/>
          <w:sz w:val="22"/>
          <w:szCs w:val="22"/>
        </w:rPr>
        <w:t>Vedoucí společník</w:t>
      </w:r>
      <w:r>
        <w:rPr>
          <w:rFonts w:ascii="Arial" w:hAnsi="Arial" w:cs="Arial"/>
          <w:sz w:val="22"/>
          <w:szCs w:val="22"/>
        </w:rPr>
        <w:t>“)</w:t>
      </w:r>
    </w:p>
    <w:p w14:paraId="018E5257" w14:textId="77777777" w:rsidR="00AA4A4D" w:rsidRDefault="00AA4A4D">
      <w:pPr>
        <w:pStyle w:val="Normlnweb"/>
        <w:spacing w:before="0" w:line="300" w:lineRule="auto"/>
        <w:rPr>
          <w:rFonts w:ascii="Arial" w:hAnsi="Arial" w:cs="Arial"/>
          <w:sz w:val="22"/>
          <w:szCs w:val="22"/>
        </w:rPr>
      </w:pPr>
    </w:p>
    <w:p w14:paraId="018E5258" w14:textId="77777777" w:rsidR="00AA4A4D" w:rsidRDefault="000F3D79">
      <w:pPr>
        <w:pStyle w:val="Normlnweb"/>
        <w:spacing w:before="0" w:line="300" w:lineRule="auto"/>
        <w:rPr>
          <w:rFonts w:ascii="Arial" w:hAnsi="Arial" w:cs="Arial"/>
          <w:sz w:val="22"/>
          <w:szCs w:val="22"/>
        </w:rPr>
      </w:pPr>
      <w:r>
        <w:rPr>
          <w:rFonts w:ascii="Arial" w:hAnsi="Arial" w:cs="Arial"/>
          <w:sz w:val="22"/>
          <w:szCs w:val="22"/>
        </w:rPr>
        <w:t>a</w:t>
      </w:r>
    </w:p>
    <w:p w14:paraId="018E5259" w14:textId="77777777" w:rsidR="00AA4A4D" w:rsidRDefault="00AA4A4D">
      <w:pPr>
        <w:pStyle w:val="Normlnweb"/>
        <w:spacing w:line="300" w:lineRule="auto"/>
        <w:rPr>
          <w:rFonts w:ascii="Arial" w:hAnsi="Arial" w:cs="Arial"/>
          <w:b/>
          <w:bCs/>
          <w:sz w:val="22"/>
          <w:szCs w:val="22"/>
        </w:rPr>
      </w:pPr>
    </w:p>
    <w:p w14:paraId="018E525A" w14:textId="77777777" w:rsidR="00AA4A4D" w:rsidRDefault="000F3D79">
      <w:pPr>
        <w:pStyle w:val="Normlnweb"/>
        <w:spacing w:line="300" w:lineRule="auto"/>
        <w:rPr>
          <w:rFonts w:ascii="Arial" w:hAnsi="Arial" w:cs="Arial"/>
          <w:b/>
          <w:bCs/>
          <w:sz w:val="22"/>
          <w:szCs w:val="22"/>
        </w:rPr>
      </w:pPr>
      <w:r>
        <w:rPr>
          <w:rFonts w:ascii="Arial" w:hAnsi="Arial" w:cs="Arial"/>
          <w:b/>
          <w:bCs/>
          <w:sz w:val="22"/>
          <w:szCs w:val="22"/>
        </w:rPr>
        <w:t>…………………………………….…</w:t>
      </w:r>
    </w:p>
    <w:p w14:paraId="018E525B" w14:textId="77777777" w:rsidR="00AA4A4D" w:rsidRDefault="000F3D79">
      <w:pPr>
        <w:pStyle w:val="Normlnweb"/>
        <w:spacing w:line="300" w:lineRule="auto"/>
        <w:rPr>
          <w:rFonts w:ascii="Arial" w:hAnsi="Arial" w:cs="Arial"/>
          <w:sz w:val="22"/>
          <w:szCs w:val="22"/>
        </w:rPr>
      </w:pPr>
      <w:r>
        <w:rPr>
          <w:rFonts w:ascii="Arial" w:hAnsi="Arial" w:cs="Arial"/>
          <w:sz w:val="22"/>
          <w:szCs w:val="22"/>
        </w:rPr>
        <w:t>zapsaný v obchodním rejstříku vedeném Krajským soudem v …….., v oddíle …, vložka …..</w:t>
      </w:r>
    </w:p>
    <w:p w14:paraId="018E525C" w14:textId="77777777" w:rsidR="00AA4A4D" w:rsidRDefault="000F3D79">
      <w:pPr>
        <w:pStyle w:val="Normlnweb"/>
        <w:spacing w:line="300" w:lineRule="auto"/>
        <w:rPr>
          <w:rFonts w:ascii="Arial" w:hAnsi="Arial" w:cs="Arial"/>
          <w:b/>
          <w:sz w:val="22"/>
          <w:szCs w:val="22"/>
        </w:rPr>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8E525D" w14:textId="77777777" w:rsidR="00AA4A4D" w:rsidRDefault="000F3D79">
      <w:pPr>
        <w:pStyle w:val="Normlnweb"/>
        <w:spacing w:line="300" w:lineRule="auto"/>
        <w:rPr>
          <w:rFonts w:ascii="Arial" w:hAnsi="Arial" w:cs="Arial"/>
          <w:b/>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8E525E" w14:textId="77777777" w:rsidR="00AA4A4D" w:rsidRDefault="000F3D79">
      <w:pPr>
        <w:pStyle w:val="Normlnweb"/>
        <w:spacing w:line="300" w:lineRule="auto"/>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18E525F" w14:textId="77777777" w:rsidR="00AA4A4D" w:rsidRDefault="000F3D79">
      <w:pPr>
        <w:pStyle w:val="Normlnweb"/>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t>……………………………………...</w:t>
      </w:r>
    </w:p>
    <w:p w14:paraId="018E5260" w14:textId="77777777" w:rsidR="00AA4A4D" w:rsidRDefault="00AA4A4D">
      <w:pPr>
        <w:pStyle w:val="Normlnweb"/>
        <w:spacing w:before="0" w:line="300" w:lineRule="auto"/>
        <w:rPr>
          <w:rFonts w:ascii="Arial" w:hAnsi="Arial" w:cs="Arial"/>
          <w:sz w:val="22"/>
          <w:szCs w:val="22"/>
        </w:rPr>
      </w:pPr>
    </w:p>
    <w:p w14:paraId="018E5261" w14:textId="77777777" w:rsidR="00AA4A4D" w:rsidRDefault="000F3D79">
      <w:pPr>
        <w:pStyle w:val="Normlnweb"/>
        <w:spacing w:before="0" w:line="300" w:lineRule="auto"/>
        <w:rPr>
          <w:rFonts w:ascii="Arial" w:hAnsi="Arial" w:cs="Arial"/>
          <w:sz w:val="22"/>
          <w:szCs w:val="22"/>
        </w:rPr>
      </w:pPr>
      <w:r>
        <w:rPr>
          <w:rFonts w:ascii="Arial" w:hAnsi="Arial" w:cs="Arial"/>
          <w:sz w:val="22"/>
          <w:szCs w:val="22"/>
        </w:rPr>
        <w:t>(dále jen „</w:t>
      </w:r>
      <w:r>
        <w:rPr>
          <w:rFonts w:ascii="Arial" w:hAnsi="Arial" w:cs="Arial"/>
          <w:b/>
          <w:sz w:val="22"/>
          <w:szCs w:val="22"/>
        </w:rPr>
        <w:t>Společník</w:t>
      </w:r>
      <w:r>
        <w:rPr>
          <w:rFonts w:ascii="Arial" w:hAnsi="Arial" w:cs="Arial"/>
          <w:sz w:val="22"/>
          <w:szCs w:val="22"/>
        </w:rPr>
        <w:t>“)</w:t>
      </w:r>
    </w:p>
    <w:p w14:paraId="018E5262" w14:textId="77777777" w:rsidR="00AA4A4D" w:rsidRDefault="00AA4A4D">
      <w:pPr>
        <w:pStyle w:val="Normlnweb"/>
        <w:spacing w:before="0" w:line="300" w:lineRule="auto"/>
        <w:rPr>
          <w:rFonts w:ascii="Arial" w:hAnsi="Arial" w:cs="Arial"/>
          <w:sz w:val="22"/>
          <w:szCs w:val="22"/>
        </w:rPr>
      </w:pPr>
    </w:p>
    <w:p w14:paraId="018E5263" w14:textId="77777777" w:rsidR="00AA4A4D" w:rsidRDefault="000F3D79">
      <w:pPr>
        <w:pStyle w:val="Normlnweb"/>
        <w:spacing w:line="300" w:lineRule="auto"/>
        <w:rPr>
          <w:rFonts w:ascii="Arial" w:hAnsi="Arial" w:cs="Arial"/>
          <w:sz w:val="22"/>
          <w:szCs w:val="22"/>
        </w:rPr>
      </w:pPr>
      <w:r>
        <w:rPr>
          <w:rFonts w:ascii="Arial" w:hAnsi="Arial" w:cs="Arial"/>
          <w:sz w:val="22"/>
          <w:szCs w:val="22"/>
        </w:rPr>
        <w:t>společně též dále jako „</w:t>
      </w:r>
      <w:r>
        <w:rPr>
          <w:rFonts w:ascii="Arial" w:hAnsi="Arial" w:cs="Arial"/>
          <w:b/>
          <w:sz w:val="22"/>
          <w:szCs w:val="22"/>
        </w:rPr>
        <w:t>Společníci</w:t>
      </w:r>
      <w:r>
        <w:rPr>
          <w:rFonts w:ascii="Arial" w:hAnsi="Arial" w:cs="Arial"/>
          <w:sz w:val="22"/>
          <w:szCs w:val="22"/>
        </w:rPr>
        <w:t xml:space="preserve">“ </w:t>
      </w:r>
      <w:r>
        <w:rPr>
          <w:rFonts w:ascii="Arial" w:hAnsi="Arial" w:cs="Arial"/>
          <w:i/>
          <w:iCs/>
          <w:sz w:val="22"/>
          <w:szCs w:val="22"/>
        </w:rPr>
        <w:t xml:space="preserve">(jsou-li sdruženi více než dva společníci, budou ti z nich, kteří nejsou Vedoucím společníkem, označováni společně jako </w:t>
      </w:r>
      <w:r>
        <w:rPr>
          <w:rFonts w:ascii="Arial" w:hAnsi="Arial" w:cs="Arial"/>
          <w:b/>
          <w:bCs/>
          <w:i/>
          <w:iCs/>
          <w:sz w:val="22"/>
          <w:szCs w:val="22"/>
        </w:rPr>
        <w:t>„Další společníci")</w:t>
      </w:r>
    </w:p>
    <w:p w14:paraId="018E5264" w14:textId="77777777" w:rsidR="00AA4A4D" w:rsidRDefault="00AA4A4D">
      <w:pPr>
        <w:pStyle w:val="Normlnweb"/>
        <w:spacing w:before="0" w:line="300" w:lineRule="auto"/>
        <w:rPr>
          <w:rFonts w:ascii="Arial" w:hAnsi="Arial" w:cs="Arial"/>
          <w:sz w:val="22"/>
          <w:szCs w:val="22"/>
        </w:rPr>
      </w:pPr>
    </w:p>
    <w:p w14:paraId="018E5265" w14:textId="77777777" w:rsidR="00AA4A4D" w:rsidRDefault="000F3D79">
      <w:pPr>
        <w:pStyle w:val="Normlnweb"/>
        <w:spacing w:line="300" w:lineRule="auto"/>
        <w:rPr>
          <w:rFonts w:ascii="Arial" w:hAnsi="Arial" w:cs="Arial"/>
          <w:sz w:val="22"/>
          <w:szCs w:val="22"/>
        </w:rPr>
      </w:pPr>
      <w:r>
        <w:rPr>
          <w:rFonts w:ascii="Arial" w:hAnsi="Arial" w:cs="Arial"/>
          <w:sz w:val="22"/>
          <w:szCs w:val="22"/>
        </w:rPr>
        <w:t>se sdružují za účelem společné činnosti za podmínek dále stanovených touto smlouvou o sdružení (dále jen „Smlouva“)</w:t>
      </w:r>
    </w:p>
    <w:p w14:paraId="018E5266" w14:textId="77777777" w:rsidR="00AA4A4D" w:rsidRDefault="000F3D79">
      <w:pPr>
        <w:pStyle w:val="Nadpis1"/>
      </w:pPr>
      <w:r>
        <w:t>Předmět a účel Smlouvy</w:t>
      </w:r>
    </w:p>
    <w:p w14:paraId="018E5267" w14:textId="77777777" w:rsidR="00AA4A4D" w:rsidRDefault="000F3D79">
      <w:pPr>
        <w:pStyle w:val="Clanek11"/>
        <w:numPr>
          <w:ilvl w:val="0"/>
          <w:numId w:val="4"/>
        </w:numPr>
      </w:pPr>
      <w:r>
        <w:t>Společníci se dohodli, že se sdružují za účelem koordinace podnikatelské činnosti a společného postupu spočívajícího:</w:t>
      </w:r>
    </w:p>
    <w:p w14:paraId="018E5268" w14:textId="1CD04A89" w:rsidR="00AA4A4D" w:rsidRDefault="000F3D79">
      <w:pPr>
        <w:pStyle w:val="Clanek11"/>
        <w:numPr>
          <w:ilvl w:val="1"/>
          <w:numId w:val="4"/>
        </w:numPr>
      </w:pPr>
      <w:r>
        <w:t xml:space="preserve"> ve společné účasti na základě společné nabídky ve zjednodušeném podlimitním řízení na veřejnou zakázku s názvem </w:t>
      </w:r>
      <w:r w:rsidRPr="00AD268F">
        <w:rPr>
          <w:b/>
        </w:rPr>
        <w:t>Poskytování instalatérských a přidružených stavebních prací – rámcová dohoda</w:t>
      </w:r>
      <w:r w:rsidRPr="000F3D79">
        <w:rPr>
          <w:b/>
        </w:rPr>
        <w:t xml:space="preserve"> </w:t>
      </w:r>
      <w:r>
        <w:t xml:space="preserve">pro zadavatele </w:t>
      </w:r>
      <w:r>
        <w:rPr>
          <w:bCs w:val="0"/>
        </w:rPr>
        <w:t xml:space="preserve">Statutární město Brno, městská část Brno-střed, se sídlem Dominikánská 2, se </w:t>
      </w:r>
      <w:r>
        <w:t xml:space="preserve">sídlem Dominikánská 2, 601 </w:t>
      </w:r>
      <w:r>
        <w:lastRenderedPageBreak/>
        <w:t>69 Brno, IČO: 136 42 103 (dále jen „Zadavatel“),</w:t>
      </w:r>
    </w:p>
    <w:p w14:paraId="018E5269" w14:textId="77777777" w:rsidR="00AA4A4D" w:rsidRDefault="000F3D79">
      <w:pPr>
        <w:pStyle w:val="Clanek11"/>
        <w:numPr>
          <w:ilvl w:val="1"/>
          <w:numId w:val="4"/>
        </w:numPr>
      </w:pPr>
      <w:r>
        <w:t>a v následné společné realizaci jednotlivých dílčích veřejných zakázek zadávaných na základě rámcové dohody uzavřené mezi Společníky a Zadavatelem v případě, že jejich společná nabídka bude Zadavatelem vybrána jako nejvýhodnější.</w:t>
      </w:r>
    </w:p>
    <w:p w14:paraId="018E526A" w14:textId="77777777" w:rsidR="00AA4A4D" w:rsidRDefault="000F3D79">
      <w:pPr>
        <w:pStyle w:val="Clanek11"/>
        <w:numPr>
          <w:ilvl w:val="0"/>
          <w:numId w:val="4"/>
        </w:numPr>
      </w:pPr>
      <w:r>
        <w:t xml:space="preserve">Smlouva je uzavřena výlučně za účelem definovaným v předchozím odstavci a práva a povinnosti, které z ní vyplývají, mohou být uplatňovány pouze ve vztahu k tomuto účelu. </w:t>
      </w:r>
    </w:p>
    <w:p w14:paraId="018E526B" w14:textId="77777777" w:rsidR="00AA4A4D" w:rsidRDefault="000F3D79">
      <w:pPr>
        <w:pStyle w:val="Nadpis1"/>
      </w:pPr>
      <w:r>
        <w:t>Společnost</w:t>
      </w:r>
    </w:p>
    <w:p w14:paraId="018E526C" w14:textId="77777777" w:rsidR="00AA4A4D" w:rsidRDefault="000F3D79">
      <w:pPr>
        <w:pStyle w:val="Clanek11"/>
      </w:pPr>
      <w:r>
        <w:t xml:space="preserve">Společníci se dohodli, že společnost vzniklá jejich sdružením bude vyvíjet společnou činnost pod názvem „………………….“ (dále jen „Společnost“). </w:t>
      </w:r>
    </w:p>
    <w:p w14:paraId="018E526D" w14:textId="77777777" w:rsidR="00AA4A4D" w:rsidRDefault="000F3D79">
      <w:pPr>
        <w:pStyle w:val="Clanek11"/>
      </w:pPr>
      <w:r>
        <w:t>Sídlem Společnosti je …………………………….</w:t>
      </w:r>
    </w:p>
    <w:p w14:paraId="018E526E" w14:textId="77777777" w:rsidR="00AA4A4D" w:rsidRDefault="000F3D79">
      <w:pPr>
        <w:pStyle w:val="Clanek11"/>
      </w:pPr>
      <w:r>
        <w:t xml:space="preserve">Společnost není samostatným právním subjektem, Společníci jsou vůči Zadavateli z jakýchkoliv právních vztahů vzniklých v souvislosti s plněním dílčích veřejných zakázek na základě rámcové dohody, jakož i vůči třetím osobám zavázáni </w:t>
      </w:r>
      <w:r>
        <w:rPr>
          <w:b/>
          <w:bCs w:val="0"/>
        </w:rPr>
        <w:t>společně a nerozdílně</w:t>
      </w:r>
      <w:r>
        <w:t>.</w:t>
      </w:r>
    </w:p>
    <w:p w14:paraId="018E526F" w14:textId="77777777" w:rsidR="00AA4A4D" w:rsidRDefault="00AA4A4D">
      <w:pPr>
        <w:pStyle w:val="Clanek11"/>
        <w:numPr>
          <w:ilvl w:val="0"/>
          <w:numId w:val="0"/>
        </w:numPr>
        <w:ind w:left="720" w:hanging="360"/>
      </w:pPr>
    </w:p>
    <w:p w14:paraId="018E5270" w14:textId="77777777" w:rsidR="00AA4A4D" w:rsidRDefault="000F3D79">
      <w:pPr>
        <w:pStyle w:val="Nadpis1"/>
      </w:pPr>
      <w:r>
        <w:t>Doba trvání Společnosti</w:t>
      </w:r>
    </w:p>
    <w:p w14:paraId="018E5271" w14:textId="77777777" w:rsidR="00AA4A4D" w:rsidRDefault="000F3D79">
      <w:pPr>
        <w:pStyle w:val="Clanek11"/>
        <w:numPr>
          <w:ilvl w:val="0"/>
          <w:numId w:val="15"/>
        </w:numPr>
      </w:pPr>
      <w:r>
        <w:t>Společnost vzniká dnem uzavření Smlouvy (tj. okamžikem podpisu všech Společníků).</w:t>
      </w:r>
    </w:p>
    <w:p w14:paraId="018E5272" w14:textId="77777777" w:rsidR="00AA4A4D" w:rsidRDefault="000F3D79">
      <w:pPr>
        <w:pStyle w:val="Clanek11"/>
      </w:pPr>
      <w:r>
        <w:t>Společnost zanikne v následujících případech:</w:t>
      </w:r>
    </w:p>
    <w:p w14:paraId="018E5273" w14:textId="77777777" w:rsidR="00AA4A4D" w:rsidRDefault="000F3D79">
      <w:pPr>
        <w:pStyle w:val="Clanek11"/>
        <w:numPr>
          <w:ilvl w:val="1"/>
          <w:numId w:val="6"/>
        </w:numPr>
      </w:pPr>
      <w:r>
        <w:t>marným uplynutím lhůty pro podání nabídek, nebude-li nabídka na shora uvedenou veřejnou zakázku podána,</w:t>
      </w:r>
    </w:p>
    <w:p w14:paraId="018E5274" w14:textId="77777777" w:rsidR="00AA4A4D" w:rsidRDefault="000F3D79">
      <w:pPr>
        <w:pStyle w:val="Clanek11"/>
        <w:numPr>
          <w:ilvl w:val="1"/>
          <w:numId w:val="6"/>
        </w:numPr>
      </w:pPr>
      <w:r>
        <w:t>oznámením o rozhodnutí Zadavatele o výběru dodavatele, ze kterého bude zřejmé, že společná nabídka Společníků nebyla vybrána jako nejvýhodnější a Zadavatel s nimi nebude uzavírat rámcovou dohodu, a to dnem, kdy proti takovému rozhodnutí již nebude možné podat námitky nebo návrh na přezkoumání úkonů zadavatele k Úřadu pro ochranu hospodářské soutěže, případně do vydání pravomocného rozhodnutí Úřadu nebo zastavení řízení,</w:t>
      </w:r>
    </w:p>
    <w:p w14:paraId="018E5275" w14:textId="77777777" w:rsidR="00AA4A4D" w:rsidRDefault="000F3D79">
      <w:pPr>
        <w:pStyle w:val="Clanek11"/>
        <w:numPr>
          <w:ilvl w:val="1"/>
          <w:numId w:val="6"/>
        </w:numPr>
      </w:pPr>
      <w:r>
        <w:t>zrušením výše označeného zadávacího řízení, a to dnem jeho zrušení,</w:t>
      </w:r>
    </w:p>
    <w:p w14:paraId="018E5276" w14:textId="77777777" w:rsidR="00AA4A4D" w:rsidRDefault="000F3D79">
      <w:pPr>
        <w:pStyle w:val="Clanek11"/>
        <w:numPr>
          <w:ilvl w:val="1"/>
          <w:numId w:val="6"/>
        </w:numPr>
      </w:pPr>
      <w:r>
        <w:t>splněním všech závazků z rámcové dohody a dílčích veřejných zakázek vůči Zadavateli po uplynutí záručních lhůt,</w:t>
      </w:r>
    </w:p>
    <w:p w14:paraId="018E5277" w14:textId="77777777" w:rsidR="00AA4A4D" w:rsidRDefault="000F3D79">
      <w:pPr>
        <w:pStyle w:val="Clanek11"/>
        <w:numPr>
          <w:ilvl w:val="1"/>
          <w:numId w:val="6"/>
        </w:numPr>
      </w:pPr>
      <w:r>
        <w:t>předčasným ukončením rámcové dohody se Zadavatelem (výpovědí nebo odstoupením od rámcové dohody).</w:t>
      </w:r>
    </w:p>
    <w:p w14:paraId="018E5278" w14:textId="77777777" w:rsidR="00AA4A4D" w:rsidRDefault="000F3D79">
      <w:pPr>
        <w:pStyle w:val="Clanek11"/>
      </w:pPr>
      <w:r>
        <w:t xml:space="preserve">Zánik členství se řídí občanským zákoníkem. Každý ze Společníků může ze Společnosti v souladu s občanským zákoníkem vystoupit, k tomu si Společníci sjednávají výpovědní dobu 3 měsíců, která počíná běžet prvním dnem kalendářního měsíce </w:t>
      </w:r>
      <w:r>
        <w:t>následujícího po doručení písemného oznámení o vystoupení ostatním společníkům.</w:t>
      </w:r>
    </w:p>
    <w:p w14:paraId="018E5279" w14:textId="77777777" w:rsidR="00AA4A4D" w:rsidRDefault="000F3D79">
      <w:pPr>
        <w:pStyle w:val="Clanek11"/>
      </w:pPr>
      <w:r>
        <w:t>Společníci berou na vědomí, že vystoupení kteréhokoliv společníka by znamenalo vážné ohrožení dosažení sjednaného společného účelu Společnosti a Společník, který ze Společnosti vystoupil, je povinen uhradit zbývajícímu společníkovi vzniklou újmu, do které se počítají rovněž všechny náklady, které zbývající společník musel vynaložit nad sjednaný rámec k řádnému splnění rámcové dohody po odchodu Společníka.</w:t>
      </w:r>
    </w:p>
    <w:p w14:paraId="018E527A" w14:textId="77777777" w:rsidR="00AA4A4D" w:rsidRDefault="000F3D79">
      <w:pPr>
        <w:pStyle w:val="Nadpis1"/>
        <w:rPr>
          <w:rStyle w:val="Nadpis1Char"/>
          <w:b/>
          <w:bCs/>
        </w:rPr>
      </w:pPr>
      <w:r>
        <w:t xml:space="preserve">Vedoucí </w:t>
      </w:r>
      <w:r>
        <w:rPr>
          <w:rStyle w:val="Nadpis1Char"/>
          <w:b/>
          <w:bCs/>
        </w:rPr>
        <w:t>společník a jednání Společnosti</w:t>
      </w:r>
    </w:p>
    <w:p w14:paraId="018E527B" w14:textId="77777777" w:rsidR="00AA4A4D" w:rsidRDefault="000F3D79">
      <w:pPr>
        <w:pStyle w:val="Clanek11"/>
        <w:numPr>
          <w:ilvl w:val="0"/>
          <w:numId w:val="11"/>
        </w:numPr>
      </w:pPr>
      <w:r>
        <w:t xml:space="preserve">Společníci se dohodli, že vedením Společnosti je pověřen Vedoucí společník, a tím je ……………………, který zastupuje společnost navenek a koordinuje program a činnost Společnosti tak, aby co nejefektivněji naplňovala svůj účel. </w:t>
      </w:r>
      <w:r>
        <w:t>Společníci jsou povinni poskytnout mu k tomu potřebnou součinnost.</w:t>
      </w:r>
    </w:p>
    <w:p w14:paraId="018E527C" w14:textId="77777777" w:rsidR="00AA4A4D" w:rsidRDefault="000F3D79">
      <w:pPr>
        <w:pStyle w:val="Clanek11"/>
        <w:numPr>
          <w:ilvl w:val="0"/>
          <w:numId w:val="11"/>
        </w:numPr>
      </w:pPr>
      <w:r>
        <w:t xml:space="preserve">Vedoucí společník zastupuje Společnost navenek a zajišťuje ústní i písemnou komunikaci se </w:t>
      </w:r>
      <w:r>
        <w:lastRenderedPageBreak/>
        <w:t>Zadavatelem. Vedoucí společník je povinen umožnit Společníkovi na jeho žádost přítomnost na všech jednáních se Zadavatelem. O výsledcích jednání se Zadavatelem je pak Vedoucí společník povinen Společníka bez odkladu informovat.</w:t>
      </w:r>
    </w:p>
    <w:p w14:paraId="018E527D" w14:textId="77777777" w:rsidR="00AA4A4D" w:rsidRDefault="000F3D79">
      <w:pPr>
        <w:pStyle w:val="Clanek11"/>
        <w:numPr>
          <w:ilvl w:val="0"/>
          <w:numId w:val="11"/>
        </w:numPr>
      </w:pPr>
      <w:r>
        <w:t xml:space="preserve">Společníci tímto výslovně udělují Vedoucímu společníkovi plnou moc k jednání a právním úkonům učiněným v souvislosti s účelem Společnosti, zejména pak </w:t>
      </w:r>
    </w:p>
    <w:p w14:paraId="018E527E" w14:textId="77777777" w:rsidR="00AA4A4D" w:rsidRDefault="000F3D79">
      <w:pPr>
        <w:pStyle w:val="Clanek11"/>
        <w:numPr>
          <w:ilvl w:val="1"/>
          <w:numId w:val="11"/>
        </w:numPr>
      </w:pPr>
      <w:r>
        <w:t xml:space="preserve">k podpisu a podání společné nabídky, včetně podepsání všech souvisejících dokumentů, </w:t>
      </w:r>
    </w:p>
    <w:p w14:paraId="018E527F" w14:textId="77777777" w:rsidR="00AA4A4D" w:rsidRDefault="000F3D79">
      <w:pPr>
        <w:pStyle w:val="Clanek11"/>
        <w:numPr>
          <w:ilvl w:val="1"/>
          <w:numId w:val="11"/>
        </w:numPr>
      </w:pPr>
      <w:r>
        <w:t>k jednání se Zadavatelem ve všech věcech týkajících se společně podané nabídky,</w:t>
      </w:r>
    </w:p>
    <w:p w14:paraId="018E5280" w14:textId="77777777" w:rsidR="00AA4A4D" w:rsidRDefault="000F3D79">
      <w:pPr>
        <w:pStyle w:val="Clanek11"/>
        <w:numPr>
          <w:ilvl w:val="1"/>
          <w:numId w:val="11"/>
        </w:numPr>
      </w:pPr>
      <w:r>
        <w:t xml:space="preserve"> k uzavření a podpisu rámcové dohody se Zadavatelem a dále k jednání a podpisu ostatních právních úkonů, které souvisí s účastí v zadávacím řízení a následně s realizací dílčích zakázek a plněním jednotlivých dílčích smluv.</w:t>
      </w:r>
    </w:p>
    <w:p w14:paraId="018E5281" w14:textId="77777777" w:rsidR="00AA4A4D" w:rsidRDefault="00AA4A4D">
      <w:pPr>
        <w:pStyle w:val="Clanek11"/>
        <w:numPr>
          <w:ilvl w:val="0"/>
          <w:numId w:val="0"/>
        </w:numPr>
      </w:pPr>
    </w:p>
    <w:p w14:paraId="018E5282" w14:textId="77777777" w:rsidR="00AA4A4D" w:rsidRDefault="000F3D79">
      <w:pPr>
        <w:pStyle w:val="Nadpis1"/>
      </w:pPr>
      <w:r>
        <w:t>Vnitřní vztahy a práva a povinnosti Společníků</w:t>
      </w:r>
    </w:p>
    <w:p w14:paraId="018E5283" w14:textId="77777777" w:rsidR="00AA4A4D" w:rsidRDefault="000F3D79">
      <w:pPr>
        <w:pStyle w:val="Clanek11"/>
        <w:numPr>
          <w:ilvl w:val="0"/>
          <w:numId w:val="12"/>
        </w:numPr>
      </w:pPr>
      <w:r>
        <w:t>Společníci jsou si rovni.</w:t>
      </w:r>
    </w:p>
    <w:p w14:paraId="018E5284" w14:textId="77777777" w:rsidR="00AA4A4D" w:rsidRDefault="000F3D79">
      <w:pPr>
        <w:pStyle w:val="Clanek11"/>
        <w:numPr>
          <w:ilvl w:val="0"/>
          <w:numId w:val="7"/>
        </w:numPr>
      </w:pPr>
      <w:r>
        <w:t xml:space="preserve">O záležitostech Společnosti Společníci rozhodují jednomyslně. </w:t>
      </w:r>
    </w:p>
    <w:p w14:paraId="018E5285" w14:textId="77777777" w:rsidR="00AA4A4D" w:rsidRDefault="000F3D79">
      <w:pPr>
        <w:pStyle w:val="Clanek11"/>
      </w:pPr>
      <w:r>
        <w:t xml:space="preserve">Společníci jsou povinni jednat s náležitou odbornou péčí a zachovávat naplnění účelu Společnosti. Jsou povinni zdržet se jakéhokoliv jednání, které by mohlo zmařit společné úsilí a postup k naplnění účelu Společnosti. </w:t>
      </w:r>
    </w:p>
    <w:p w14:paraId="018E5286" w14:textId="77777777" w:rsidR="00AA4A4D" w:rsidRDefault="000F3D79">
      <w:pPr>
        <w:pStyle w:val="Clanek11"/>
        <w:numPr>
          <w:ilvl w:val="0"/>
          <w:numId w:val="7"/>
        </w:numPr>
      </w:pPr>
      <w:r>
        <w:t>Před podáním nabídky je každý Společník povinen předložit doklady ke splnění základní a profesní způsobilosti podle § 75 a §77 odst. 1 zákona č. 134/2016 Sb., o zadávání veřejných zakázek, ve znění pozdějších předpisů (dále jen ZZVZ“). Dále je povinen poskytnout veškerou potřebnou součinnosti Vedoucímu společníkovi a na vyzvání prokázat, že podklady a informace, které předložil, jsou pravdivé.</w:t>
      </w:r>
    </w:p>
    <w:p w14:paraId="018E5287" w14:textId="77777777" w:rsidR="00AA4A4D" w:rsidRDefault="000F3D79">
      <w:pPr>
        <w:pStyle w:val="Clanek11"/>
      </w:pPr>
      <w:r>
        <w:t>Při realizaci dílčích zakázek na základě uzavřené rámcové dohody se Zadavatelem je každý ze Společníků povinen realizovat sám na své jméno, svoji odpovědnost a riziko a ve svůj prospěch svoji část díla a prací v rozsahu, na kterém se Společníci dohodli.</w:t>
      </w:r>
    </w:p>
    <w:p w14:paraId="018E5288" w14:textId="77777777" w:rsidR="00AA4A4D" w:rsidRDefault="000F3D79">
      <w:pPr>
        <w:pStyle w:val="Clanek11"/>
      </w:pPr>
      <w:r>
        <w:t xml:space="preserve">Ve vzájemném vztahu jsou Společníci samostatně odpovědní za řádné provádění svého rozsahu činnosti v souladu s touto Smlouvou, rámcovou dohodou, dílčími výzvami Zadavatele a obecně závaznými právními předpisy. Každý ze společníků odpovídá za případné škody, které vznikly v souvislosti s prováděním jeho podílu, druhému společníkovi. V případě, že budou vůči jednomu ze společníků vzneseny nároky, které plynou z provádění příslušné části díla druhého společníka, je tento druhý společník povinen tyto uplatněné </w:t>
      </w:r>
      <w:r>
        <w:t>nároky bez prodlení uspokojit. Jedná se zejména o nároky vyplývající z odpovědnosti za škodu, odpovědnosti z prodlení, odpovědnosti za vady příslušné části díla, odpovědnosti ze smluvní pokuty apod.</w:t>
      </w:r>
    </w:p>
    <w:p w14:paraId="018E5289" w14:textId="77777777" w:rsidR="00AA4A4D" w:rsidRDefault="000F3D79">
      <w:pPr>
        <w:pStyle w:val="Clanek11"/>
      </w:pPr>
      <w:r>
        <w:t>Společníci se zavazují, že na shora označenou veřejnou zakázku nepředloží další nabídku, a to ani samostatně, ani společně s jakoukoliv další osobou.</w:t>
      </w:r>
    </w:p>
    <w:p w14:paraId="018E528A" w14:textId="77777777" w:rsidR="00AA4A4D" w:rsidRDefault="000F3D79">
      <w:pPr>
        <w:pStyle w:val="Clanek11"/>
      </w:pPr>
      <w:r>
        <w:t>Společníci jsou povinni se navzájem neprodleně informovat o všech vůči nim uplatněným právům nebo sankcím v souvislosti s touto Smlouvou a rámcovou dohodou se Zadavatelem.</w:t>
      </w:r>
    </w:p>
    <w:p w14:paraId="018E528B" w14:textId="77777777" w:rsidR="00AA4A4D" w:rsidRDefault="000F3D79">
      <w:pPr>
        <w:pStyle w:val="Clanek11"/>
        <w:numPr>
          <w:ilvl w:val="0"/>
          <w:numId w:val="7"/>
        </w:numPr>
      </w:pPr>
      <w:r>
        <w:t>Každý společník oznámí a doloží Vedoucímu společnosti bez zbytečného odkladu nutnost provedení nezbytných změn ve svém rozsahu činností, změn termínů, popř. změn sjednané ceny, pokud tuto nutnost zjistí při plnění svého rozsahu činností na předmětu plnění veřejné zakázky. V takovém případě je pak povinen poskytnout Vedoucímu společnosti veškerou součinnost při projednávání těchto změn se Zadavatelem, včetně účasti při těchto jednáních na vyžádání Vedoucího společnosti.</w:t>
      </w:r>
    </w:p>
    <w:p w14:paraId="018E528C" w14:textId="77777777" w:rsidR="00AA4A4D" w:rsidRDefault="000F3D79">
      <w:pPr>
        <w:pStyle w:val="Clanek11"/>
      </w:pPr>
      <w:r>
        <w:t>Společníci se zavazují plnit své závazky vyplývající z této smlouvy a rámcové dohody i jednotlivých výzev Zadavatele tak, aby nedocházelo k prodlení s plněním nebo k porušení požadavků Zadavatele na řádné plnění.</w:t>
      </w:r>
    </w:p>
    <w:p w14:paraId="018E528D" w14:textId="77777777" w:rsidR="00AA4A4D" w:rsidRDefault="000F3D79">
      <w:pPr>
        <w:pStyle w:val="Clanek11"/>
      </w:pPr>
      <w:r>
        <w:t>Společníci nejsou oprávněni uzavírat smlouvy s poddodavateli ve smyslu ZZVZ.</w:t>
      </w:r>
    </w:p>
    <w:p w14:paraId="018E528E" w14:textId="77777777" w:rsidR="00AA4A4D" w:rsidRDefault="000F3D79">
      <w:pPr>
        <w:pStyle w:val="Clanek11"/>
      </w:pPr>
      <w:r>
        <w:lastRenderedPageBreak/>
        <w:t>Zadavatel bude poukazovat platby za realizaci předmětné veřejné zakázky na účet vedoucího Společnosti. Po obdržení platby od zadavatele vedoucí Společnosti poukáže dalšímu účastníku Společnosti do 10 pracovních dní tu část platby, která připadá na jím provedené práce.</w:t>
      </w:r>
    </w:p>
    <w:p w14:paraId="018E528F" w14:textId="77777777" w:rsidR="00AA4A4D" w:rsidRDefault="000F3D79">
      <w:pPr>
        <w:pStyle w:val="Clanek11"/>
      </w:pPr>
      <w:r>
        <w:t>Předběžné rozdělení činností mezi jednotlivé společníky: ………………………………….</w:t>
      </w:r>
    </w:p>
    <w:p w14:paraId="018E5290" w14:textId="77777777" w:rsidR="00AA4A4D" w:rsidRDefault="00AA4A4D">
      <w:pPr>
        <w:pStyle w:val="Clanek11"/>
        <w:numPr>
          <w:ilvl w:val="0"/>
          <w:numId w:val="0"/>
        </w:numPr>
        <w:ind w:left="720" w:hanging="360"/>
      </w:pPr>
    </w:p>
    <w:p w14:paraId="018E5291" w14:textId="77777777" w:rsidR="00AA4A4D" w:rsidRDefault="00AA4A4D">
      <w:pPr>
        <w:pStyle w:val="Clanek11"/>
        <w:numPr>
          <w:ilvl w:val="0"/>
          <w:numId w:val="0"/>
        </w:numPr>
      </w:pPr>
    </w:p>
    <w:p w14:paraId="018E5292" w14:textId="77777777" w:rsidR="00AA4A4D" w:rsidRDefault="000F3D79">
      <w:pPr>
        <w:pStyle w:val="Nadpis1"/>
      </w:pPr>
      <w:r>
        <w:t xml:space="preserve">Ostatní a </w:t>
      </w:r>
      <w:r>
        <w:t>závěrečná ujednání</w:t>
      </w:r>
    </w:p>
    <w:p w14:paraId="018E5293" w14:textId="77777777" w:rsidR="00AA4A4D" w:rsidRDefault="000F3D79">
      <w:pPr>
        <w:pStyle w:val="Clanek11"/>
        <w:numPr>
          <w:ilvl w:val="0"/>
          <w:numId w:val="14"/>
        </w:numPr>
      </w:pPr>
      <w:r>
        <w:t>Otázky výslovně neupravené touto smlouvou se řídí právním řádem České republiky, zejména pak občanským zákoníkem.</w:t>
      </w:r>
    </w:p>
    <w:p w14:paraId="018E5294" w14:textId="77777777" w:rsidR="00AA4A4D" w:rsidRDefault="000F3D79">
      <w:pPr>
        <w:pStyle w:val="Clanek11"/>
        <w:numPr>
          <w:ilvl w:val="0"/>
          <w:numId w:val="14"/>
        </w:numPr>
      </w:pPr>
      <w:r>
        <w:t>Společníci si sjednávají, že všechny spory, které by mohly vzniknout z této smlouvy nebo v souvislosti s ní, budou rozhodovány obecnými soudy ČR.</w:t>
      </w:r>
    </w:p>
    <w:p w14:paraId="018E5295" w14:textId="77777777" w:rsidR="00AA4A4D" w:rsidRDefault="000F3D79">
      <w:pPr>
        <w:pStyle w:val="Clanek11"/>
      </w:pPr>
      <w:r>
        <w:t>Změny a doplňky této smlouvy mohou být učiněny pouze formou písemného dodatku podepsaného oprávněnými zástupci Společníků.</w:t>
      </w:r>
    </w:p>
    <w:p w14:paraId="018E5296" w14:textId="77777777" w:rsidR="00AA4A4D" w:rsidRDefault="000F3D79">
      <w:pPr>
        <w:pStyle w:val="Clanek11"/>
      </w:pPr>
      <w:r>
        <w:t>Společníci prohlašují, že si tuto smlouvu před jejím podpisem přečetli, s jejím obsahem souhlasí a že byla uzavřena po vzájemném projednání podle jejich pravé a svobodné vůle, určitě, srozumitelně a vážně, nikoli v tísni za nápadně nevýhodných podmínek. Autentičnost této smlouvy potvrzují svým podpisem.</w:t>
      </w:r>
    </w:p>
    <w:p w14:paraId="018E5297" w14:textId="77777777" w:rsidR="00AA4A4D" w:rsidRDefault="000F3D79">
      <w:pPr>
        <w:pStyle w:val="Clanek11"/>
      </w:pPr>
      <w:r>
        <w:t>4. Tato smlouva je uzavřena v elektronicky, přičemž každý Společník obdrží její elektronický originál / v listinné podobě, přičemž každý ze Společníků obdrží po dvou vyhotoveních. Jedno vyhotovení bude dále předloženo Zadavateli jako součást nabídky.</w:t>
      </w:r>
    </w:p>
    <w:p w14:paraId="018E5298" w14:textId="77777777" w:rsidR="00AA4A4D" w:rsidRDefault="000F3D79">
      <w:pPr>
        <w:pStyle w:val="Clanek11"/>
      </w:pPr>
      <w:r>
        <w:t>Tato smlouva nabývá platnosti a účinnosti dnem jejího podpisu osobami oprávněnými jednat jménem Společníků.</w:t>
      </w:r>
    </w:p>
    <w:p w14:paraId="018E5299" w14:textId="77777777" w:rsidR="00AA4A4D" w:rsidRDefault="00AA4A4D">
      <w:pPr>
        <w:pStyle w:val="Clanek11"/>
        <w:numPr>
          <w:ilvl w:val="0"/>
          <w:numId w:val="0"/>
        </w:numPr>
        <w:ind w:left="720" w:hanging="360"/>
      </w:pPr>
    </w:p>
    <w:p w14:paraId="018E529A" w14:textId="77777777" w:rsidR="00AA4A4D" w:rsidRDefault="000F3D79">
      <w:pPr>
        <w:pStyle w:val="Clanek11"/>
        <w:numPr>
          <w:ilvl w:val="0"/>
          <w:numId w:val="0"/>
        </w:numPr>
        <w:ind w:left="720" w:hanging="360"/>
      </w:pPr>
      <w:r>
        <w:t>Vedoucí společník:</w:t>
      </w:r>
      <w:r>
        <w:tab/>
      </w:r>
      <w:r>
        <w:tab/>
      </w:r>
      <w:r>
        <w:tab/>
      </w:r>
      <w:r>
        <w:tab/>
      </w:r>
      <w:r>
        <w:tab/>
        <w:t xml:space="preserve">Společník: </w:t>
      </w:r>
    </w:p>
    <w:p w14:paraId="018E529B" w14:textId="77777777" w:rsidR="00AA4A4D" w:rsidRDefault="00AA4A4D">
      <w:pPr>
        <w:pStyle w:val="Clanek11"/>
        <w:numPr>
          <w:ilvl w:val="0"/>
          <w:numId w:val="0"/>
        </w:numPr>
        <w:ind w:left="720" w:hanging="360"/>
      </w:pPr>
    </w:p>
    <w:p w14:paraId="018E529C" w14:textId="77777777" w:rsidR="00AA4A4D" w:rsidRDefault="000F3D79">
      <w:pPr>
        <w:tabs>
          <w:tab w:val="left" w:pos="5529"/>
        </w:tabs>
        <w:ind w:left="360"/>
        <w:jc w:val="both"/>
        <w:rPr>
          <w:rFonts w:eastAsia="Times New Roman"/>
          <w:lang w:eastAsia="ar-SA"/>
        </w:rPr>
      </w:pPr>
      <w:r>
        <w:rPr>
          <w:rFonts w:eastAsia="Times New Roman"/>
          <w:lang w:eastAsia="ar-SA"/>
        </w:rPr>
        <w:t xml:space="preserve">V ……………., dne ……………..         </w:t>
      </w:r>
      <w:r>
        <w:rPr>
          <w:rFonts w:eastAsia="Times New Roman"/>
          <w:lang w:eastAsia="ar-SA"/>
        </w:rPr>
        <w:tab/>
        <w:t>V…………….….. , dne  ….</w:t>
      </w:r>
    </w:p>
    <w:p w14:paraId="018E529D" w14:textId="77777777" w:rsidR="00AA4A4D" w:rsidRDefault="00AA4A4D">
      <w:pPr>
        <w:tabs>
          <w:tab w:val="left" w:pos="6300"/>
        </w:tabs>
        <w:jc w:val="both"/>
        <w:rPr>
          <w:rFonts w:eastAsia="Times New Roman"/>
          <w:lang w:eastAsia="ar-SA"/>
        </w:rPr>
      </w:pPr>
    </w:p>
    <w:p w14:paraId="018E529E" w14:textId="77777777" w:rsidR="00AA4A4D" w:rsidRDefault="00AA4A4D">
      <w:pPr>
        <w:tabs>
          <w:tab w:val="left" w:pos="6300"/>
        </w:tabs>
        <w:jc w:val="both"/>
        <w:rPr>
          <w:rFonts w:eastAsia="Times New Roman"/>
          <w:lang w:eastAsia="ar-SA"/>
        </w:rPr>
      </w:pPr>
    </w:p>
    <w:p w14:paraId="018E529F" w14:textId="77777777" w:rsidR="00AA4A4D" w:rsidRDefault="00AA4A4D">
      <w:pPr>
        <w:tabs>
          <w:tab w:val="left" w:pos="6300"/>
        </w:tabs>
        <w:jc w:val="both"/>
        <w:rPr>
          <w:rFonts w:eastAsia="Times New Roman"/>
          <w:lang w:eastAsia="ar-SA"/>
        </w:rPr>
      </w:pPr>
    </w:p>
    <w:p w14:paraId="018E52A0" w14:textId="77777777" w:rsidR="00AA4A4D" w:rsidRDefault="00AA4A4D">
      <w:pPr>
        <w:tabs>
          <w:tab w:val="left" w:pos="6300"/>
        </w:tabs>
        <w:jc w:val="both"/>
        <w:rPr>
          <w:rFonts w:eastAsia="Times New Roman"/>
          <w:lang w:eastAsia="ar-SA"/>
        </w:rPr>
      </w:pPr>
    </w:p>
    <w:p w14:paraId="018E52A1" w14:textId="77777777" w:rsidR="00AA4A4D" w:rsidRDefault="000F3D79">
      <w:pPr>
        <w:tabs>
          <w:tab w:val="left" w:pos="5529"/>
        </w:tabs>
        <w:ind w:left="360"/>
        <w:jc w:val="both"/>
        <w:rPr>
          <w:rFonts w:eastAsia="Times New Roman"/>
          <w:lang w:eastAsia="ar-SA"/>
        </w:rPr>
      </w:pPr>
      <w:r>
        <w:rPr>
          <w:rFonts w:eastAsia="Times New Roman"/>
          <w:lang w:eastAsia="ar-SA"/>
        </w:rPr>
        <w:t>………………………………………                       …………..……………………..……</w:t>
      </w:r>
    </w:p>
    <w:p w14:paraId="018E52A2" w14:textId="77777777" w:rsidR="00AA4A4D" w:rsidRDefault="000F3D79">
      <w:pPr>
        <w:tabs>
          <w:tab w:val="left" w:pos="6660"/>
        </w:tabs>
        <w:ind w:left="360"/>
        <w:jc w:val="both"/>
        <w:rPr>
          <w:rFonts w:eastAsia="Times New Roman"/>
          <w:lang w:eastAsia="ar-SA"/>
        </w:rPr>
      </w:pPr>
      <w:r>
        <w:rPr>
          <w:rFonts w:eastAsia="Times New Roman"/>
          <w:lang w:eastAsia="ar-SA"/>
        </w:rPr>
        <w:tab/>
      </w:r>
    </w:p>
    <w:p w14:paraId="018E52A3" w14:textId="77777777" w:rsidR="00AA4A4D" w:rsidRDefault="00AA4A4D">
      <w:pPr>
        <w:pStyle w:val="Clanek11"/>
        <w:numPr>
          <w:ilvl w:val="0"/>
          <w:numId w:val="0"/>
        </w:numPr>
        <w:ind w:left="720" w:hanging="360"/>
      </w:pPr>
    </w:p>
    <w:p w14:paraId="018E52A4" w14:textId="77777777" w:rsidR="00AA4A4D" w:rsidRDefault="00AA4A4D">
      <w:pPr>
        <w:pStyle w:val="Clanek11"/>
        <w:numPr>
          <w:ilvl w:val="0"/>
          <w:numId w:val="0"/>
        </w:numPr>
        <w:ind w:left="720" w:hanging="360"/>
      </w:pPr>
    </w:p>
    <w:sectPr w:rsidR="00AA4A4D">
      <w:footerReference w:type="default" r:id="rId8"/>
      <w:pgSz w:w="11906" w:h="16838"/>
      <w:pgMar w:top="1134" w:right="1134" w:bottom="567" w:left="1134"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450DD" w14:textId="77777777" w:rsidR="001D6C3A" w:rsidRDefault="001D6C3A">
      <w:r>
        <w:separator/>
      </w:r>
    </w:p>
  </w:endnote>
  <w:endnote w:type="continuationSeparator" w:id="0">
    <w:p w14:paraId="432277D9" w14:textId="77777777" w:rsidR="001D6C3A" w:rsidRDefault="001D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altName w:val="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58601"/>
      <w:docPartObj>
        <w:docPartGallery w:val="Page Numbers (Bottom of Page)"/>
        <w:docPartUnique/>
      </w:docPartObj>
    </w:sdtPr>
    <w:sdtEndPr/>
    <w:sdtContent>
      <w:p w14:paraId="018E52A9" w14:textId="77777777" w:rsidR="00AA4A4D" w:rsidRDefault="000F3D79">
        <w:pPr>
          <w:pStyle w:val="Zpat"/>
          <w:jc w:val="center"/>
        </w:pPr>
        <w:r>
          <w:fldChar w:fldCharType="begin"/>
        </w:r>
        <w:r>
          <w:instrText>PAGE</w:instrText>
        </w:r>
        <w:r>
          <w:fldChar w:fldCharType="separate"/>
        </w:r>
        <w:r>
          <w:rPr>
            <w:noProof/>
          </w:rPr>
          <w:t>4</w:t>
        </w:r>
        <w:r>
          <w:fldChar w:fldCharType="end"/>
        </w:r>
      </w:p>
    </w:sdtContent>
  </w:sdt>
  <w:p w14:paraId="018E52AA" w14:textId="77777777" w:rsidR="00AA4A4D" w:rsidRDefault="00AA4A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0135E" w14:textId="77777777" w:rsidR="001D6C3A" w:rsidRDefault="001D6C3A">
      <w:pPr>
        <w:rPr>
          <w:sz w:val="12"/>
        </w:rPr>
      </w:pPr>
      <w:r>
        <w:separator/>
      </w:r>
    </w:p>
  </w:footnote>
  <w:footnote w:type="continuationSeparator" w:id="0">
    <w:p w14:paraId="179AFD35" w14:textId="77777777" w:rsidR="001D6C3A" w:rsidRDefault="001D6C3A">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5F8"/>
    <w:multiLevelType w:val="multilevel"/>
    <w:tmpl w:val="7CAC659C"/>
    <w:lvl w:ilvl="0">
      <w:start w:val="1"/>
      <w:numFmt w:val="decimal"/>
      <w:pStyle w:val="Nadpis1"/>
      <w:lvlText w:val="%1."/>
      <w:lvlJc w:val="left"/>
      <w:pPr>
        <w:tabs>
          <w:tab w:val="num" w:pos="567"/>
        </w:tabs>
        <w:ind w:left="567" w:hanging="567"/>
      </w:pPr>
      <w:rPr>
        <w:rFonts w:ascii="Times New Roman" w:hAnsi="Times New Roman"/>
        <w:b/>
        <w:i w:val="0"/>
        <w:sz w:val="24"/>
        <w:szCs w:val="24"/>
      </w:rPr>
    </w:lvl>
    <w:lvl w:ilvl="1">
      <w:start w:val="1"/>
      <w:numFmt w:val="decimal"/>
      <w:lvlText w:val="%2."/>
      <w:lvlJc w:val="lef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0F1131"/>
    <w:multiLevelType w:val="hybridMultilevel"/>
    <w:tmpl w:val="58BED5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833A0B"/>
    <w:multiLevelType w:val="multilevel"/>
    <w:tmpl w:val="CDA85D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6E56C4"/>
    <w:multiLevelType w:val="multilevel"/>
    <w:tmpl w:val="CA3621AA"/>
    <w:lvl w:ilvl="0">
      <w:start w:val="1"/>
      <w:numFmt w:val="decimal"/>
      <w:lvlText w:val="%1."/>
      <w:lvlJc w:val="left"/>
      <w:pPr>
        <w:tabs>
          <w:tab w:val="num" w:pos="397"/>
        </w:tabs>
        <w:ind w:left="397" w:hanging="397"/>
      </w:pPr>
      <w:rPr>
        <w:b w:val="0"/>
        <w:bCs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58832BD"/>
    <w:multiLevelType w:val="multilevel"/>
    <w:tmpl w:val="D19CCA3E"/>
    <w:lvl w:ilvl="0">
      <w:start w:val="1"/>
      <w:numFmt w:val="decimal"/>
      <w:lvlText w:val="%1."/>
      <w:lvlJc w:val="left"/>
      <w:pPr>
        <w:tabs>
          <w:tab w:val="num" w:pos="567"/>
        </w:tabs>
        <w:ind w:left="567" w:hanging="567"/>
      </w:pPr>
      <w:rPr>
        <w:rFonts w:ascii="Times New Roman" w:hAnsi="Times New Roman"/>
        <w:b/>
        <w:i w:val="0"/>
        <w:sz w:val="24"/>
        <w:szCs w:val="24"/>
      </w:rPr>
    </w:lvl>
    <w:lvl w:ilvl="1">
      <w:start w:val="1"/>
      <w:numFmt w:val="decimal"/>
      <w:lvlText w:val="%2."/>
      <w:lvlJc w:val="left"/>
      <w:pPr>
        <w:ind w:left="360"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99E6BBD"/>
    <w:multiLevelType w:val="hybridMultilevel"/>
    <w:tmpl w:val="00C83236"/>
    <w:lvl w:ilvl="0" w:tplc="00000003">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5EE24DDC"/>
    <w:multiLevelType w:val="hybridMultilevel"/>
    <w:tmpl w:val="370E9F1E"/>
    <w:lvl w:ilvl="0" w:tplc="3A8A0F88">
      <w:start w:val="1"/>
      <w:numFmt w:val="decimal"/>
      <w:pStyle w:val="Clanek11"/>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6E73B6"/>
    <w:multiLevelType w:val="multilevel"/>
    <w:tmpl w:val="B790B744"/>
    <w:lvl w:ilvl="0">
      <w:start w:val="1"/>
      <w:numFmt w:val="decimal"/>
      <w:lvlText w:val="(%1)"/>
      <w:lvlJc w:val="left"/>
      <w:pPr>
        <w:tabs>
          <w:tab w:val="num" w:pos="567"/>
        </w:tabs>
        <w:ind w:left="567" w:hanging="567"/>
      </w:pPr>
      <w:rPr>
        <w:rFonts w:ascii="Times New Roman" w:hAnsi="Times New Roman"/>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80028258">
    <w:abstractNumId w:val="0"/>
  </w:num>
  <w:num w:numId="2" w16cid:durableId="1851018147">
    <w:abstractNumId w:val="7"/>
  </w:num>
  <w:num w:numId="3" w16cid:durableId="439688391">
    <w:abstractNumId w:val="2"/>
  </w:num>
  <w:num w:numId="4" w16cid:durableId="1963029049">
    <w:abstractNumId w:val="1"/>
  </w:num>
  <w:num w:numId="5" w16cid:durableId="1865820036">
    <w:abstractNumId w:val="6"/>
  </w:num>
  <w:num w:numId="6" w16cid:durableId="456991909">
    <w:abstractNumId w:val="6"/>
  </w:num>
  <w:num w:numId="7" w16cid:durableId="1191143798">
    <w:abstractNumId w:val="6"/>
  </w:num>
  <w:num w:numId="8" w16cid:durableId="1686635955">
    <w:abstractNumId w:val="6"/>
    <w:lvlOverride w:ilvl="0">
      <w:startOverride w:val="1"/>
    </w:lvlOverride>
  </w:num>
  <w:num w:numId="9" w16cid:durableId="662314594">
    <w:abstractNumId w:val="5"/>
  </w:num>
  <w:num w:numId="10" w16cid:durableId="1685479285">
    <w:abstractNumId w:val="4"/>
  </w:num>
  <w:num w:numId="11" w16cid:durableId="782765774">
    <w:abstractNumId w:val="3"/>
  </w:num>
  <w:num w:numId="12" w16cid:durableId="525366615">
    <w:abstractNumId w:val="6"/>
    <w:lvlOverride w:ilvl="0">
      <w:startOverride w:val="1"/>
    </w:lvlOverride>
  </w:num>
  <w:num w:numId="13" w16cid:durableId="1391155425">
    <w:abstractNumId w:val="6"/>
    <w:lvlOverride w:ilvl="0">
      <w:startOverride w:val="1"/>
    </w:lvlOverride>
  </w:num>
  <w:num w:numId="14" w16cid:durableId="1925333072">
    <w:abstractNumId w:val="6"/>
    <w:lvlOverride w:ilvl="0">
      <w:startOverride w:val="1"/>
    </w:lvlOverride>
  </w:num>
  <w:num w:numId="15" w16cid:durableId="169195030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4D"/>
    <w:rsid w:val="000F3D79"/>
    <w:rsid w:val="001D6C3A"/>
    <w:rsid w:val="004B2FDE"/>
    <w:rsid w:val="00815D8B"/>
    <w:rsid w:val="009D06FB"/>
    <w:rsid w:val="00AA4A4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5247"/>
  <w15:docId w15:val="{8D72A3D4-39CD-4F40-89DD-619EB65F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eastAsia="en-US"/>
    </w:rPr>
  </w:style>
  <w:style w:type="paragraph" w:styleId="Nadpis1">
    <w:name w:val="heading 1"/>
    <w:basedOn w:val="Normln"/>
    <w:next w:val="Clanek11"/>
    <w:link w:val="Nadpis1Char"/>
    <w:qFormat/>
    <w:pPr>
      <w:keepNext/>
      <w:numPr>
        <w:numId w:val="1"/>
      </w:numPr>
      <w:spacing w:before="360" w:after="240"/>
      <w:jc w:val="center"/>
      <w:outlineLvl w:val="0"/>
    </w:pPr>
    <w:rPr>
      <w:rFonts w:ascii="Arial" w:eastAsia="Times New Roman" w:hAnsi="Arial" w:cs="Arial"/>
      <w:b/>
      <w:bCs/>
      <w:kern w:val="2"/>
      <w:szCs w:val="32"/>
    </w:rPr>
  </w:style>
  <w:style w:type="paragraph" w:styleId="Nadpis2">
    <w:name w:val="heading 2"/>
    <w:basedOn w:val="Normln"/>
    <w:next w:val="Normln"/>
    <w:link w:val="Nadpis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Pr>
      <w:color w:val="0000FF"/>
      <w:u w:val="single"/>
    </w:rPr>
  </w:style>
  <w:style w:type="character" w:customStyle="1" w:styleId="ZhlavChar">
    <w:name w:val="Záhlaví Char"/>
    <w:basedOn w:val="Standardnpsmoodstavce"/>
    <w:link w:val="Zhlav"/>
    <w:uiPriority w:val="99"/>
    <w:qFormat/>
    <w:rPr>
      <w:sz w:val="24"/>
      <w:szCs w:val="24"/>
      <w:lang w:eastAsia="en-US"/>
    </w:rPr>
  </w:style>
  <w:style w:type="character" w:customStyle="1" w:styleId="ZpatChar">
    <w:name w:val="Zápatí Char"/>
    <w:basedOn w:val="Standardnpsmoodstavce"/>
    <w:link w:val="Zpat"/>
    <w:uiPriority w:val="99"/>
    <w:qFormat/>
    <w:rPr>
      <w:sz w:val="24"/>
      <w:szCs w:val="24"/>
      <w:lang w:eastAsia="en-US"/>
    </w:rPr>
  </w:style>
  <w:style w:type="character" w:customStyle="1" w:styleId="StylpatickaChar">
    <w:name w:val="Stylpaticka Char"/>
    <w:basedOn w:val="Standardnpsmoodstavce"/>
    <w:link w:val="Stylpaticka"/>
    <w:qFormat/>
    <w:rPr>
      <w:rFonts w:ascii="Arial" w:hAnsi="Arial" w:cs="Arial"/>
      <w:b/>
      <w:color w:val="DA0000"/>
      <w:sz w:val="18"/>
      <w:lang w:eastAsia="en-US"/>
    </w:rPr>
  </w:style>
  <w:style w:type="character" w:customStyle="1" w:styleId="TextbublinyChar">
    <w:name w:val="Text bubliny Char"/>
    <w:basedOn w:val="Standardnpsmoodstavce"/>
    <w:link w:val="Textbubliny"/>
    <w:uiPriority w:val="99"/>
    <w:semiHidden/>
    <w:qFormat/>
    <w:rPr>
      <w:rFonts w:ascii="Segoe UI" w:hAnsi="Segoe UI" w:cs="Segoe UI"/>
      <w:sz w:val="18"/>
      <w:szCs w:val="18"/>
      <w:lang w:eastAsia="en-US"/>
    </w:rPr>
  </w:style>
  <w:style w:type="character" w:styleId="Odkaznakoment">
    <w:name w:val="annotation reference"/>
    <w:basedOn w:val="Standardnpsmoodstavce"/>
    <w:uiPriority w:val="99"/>
    <w:semiHidden/>
    <w:unhideWhenUsed/>
    <w:qFormat/>
    <w:rPr>
      <w:sz w:val="16"/>
      <w:szCs w:val="16"/>
    </w:rPr>
  </w:style>
  <w:style w:type="character" w:customStyle="1" w:styleId="TextkomenteChar">
    <w:name w:val="Text komentáře Char"/>
    <w:basedOn w:val="Standardnpsmoodstavce"/>
    <w:link w:val="Textkomente"/>
    <w:uiPriority w:val="99"/>
    <w:qFormat/>
    <w:rPr>
      <w:lang w:eastAsia="en-US"/>
    </w:rPr>
  </w:style>
  <w:style w:type="character" w:customStyle="1" w:styleId="PedmtkomenteChar">
    <w:name w:val="Předmět komentáře Char"/>
    <w:basedOn w:val="TextkomenteChar"/>
    <w:link w:val="Pedmtkomente"/>
    <w:uiPriority w:val="99"/>
    <w:semiHidden/>
    <w:qFormat/>
    <w:rPr>
      <w:b/>
      <w:bCs/>
      <w:lang w:eastAsia="en-US"/>
    </w:rPr>
  </w:style>
  <w:style w:type="character" w:customStyle="1" w:styleId="Nadpis1Char">
    <w:name w:val="Nadpis 1 Char"/>
    <w:basedOn w:val="Standardnpsmoodstavce"/>
    <w:link w:val="Nadpis1"/>
    <w:qFormat/>
    <w:rPr>
      <w:rFonts w:ascii="Arial" w:eastAsia="Times New Roman" w:hAnsi="Arial" w:cs="Arial"/>
      <w:b/>
      <w:bCs/>
      <w:kern w:val="2"/>
      <w:sz w:val="24"/>
      <w:szCs w:val="32"/>
      <w:lang w:eastAsia="en-US"/>
    </w:rPr>
  </w:style>
  <w:style w:type="character" w:customStyle="1" w:styleId="ClanekaChar">
    <w:name w:val="Clanek (a) Char"/>
    <w:basedOn w:val="Standardnpsmoodstavce"/>
    <w:link w:val="Claneka"/>
    <w:qFormat/>
    <w:rPr>
      <w:rFonts w:eastAsia="Times New Roman"/>
      <w:sz w:val="22"/>
      <w:szCs w:val="24"/>
      <w:lang w:eastAsia="en-US"/>
    </w:rPr>
  </w:style>
  <w:style w:type="character" w:customStyle="1" w:styleId="Nadpis2Char">
    <w:name w:val="Nadpis 2 Char"/>
    <w:basedOn w:val="Standardnpsmoodstavce"/>
    <w:link w:val="Nadpis2"/>
    <w:uiPriority w:val="9"/>
    <w:semiHidden/>
    <w:qFormat/>
    <w:rPr>
      <w:rFonts w:asciiTheme="majorHAnsi" w:eastAsiaTheme="majorEastAsia" w:hAnsiTheme="majorHAnsi" w:cstheme="majorBidi"/>
      <w:color w:val="2E74B5" w:themeColor="accent1" w:themeShade="BF"/>
      <w:sz w:val="26"/>
      <w:szCs w:val="26"/>
      <w:lang w:eastAsia="en-US"/>
    </w:rPr>
  </w:style>
  <w:style w:type="character" w:customStyle="1" w:styleId="slovndk">
    <w:name w:val="Číslování řádků"/>
  </w:style>
  <w:style w:type="character" w:customStyle="1" w:styleId="TextpoznpodarouChar">
    <w:name w:val="Text pozn. pod čarou Char"/>
    <w:basedOn w:val="Standardnpsmoodstavce"/>
    <w:link w:val="Textpoznpodarou"/>
    <w:uiPriority w:val="99"/>
    <w:semiHidden/>
    <w:qFormat/>
    <w:rPr>
      <w:lang w:eastAsia="en-US"/>
    </w:rPr>
  </w:style>
  <w:style w:type="character" w:customStyle="1" w:styleId="Ukotvenpoznmkypodarou">
    <w:name w:val="Ukotvení poznámky pod čarou"/>
    <w:rPr>
      <w:vertAlign w:val="superscript"/>
    </w:rPr>
  </w:style>
  <w:style w:type="character" w:customStyle="1" w:styleId="FootnoteCharacters">
    <w:name w:val="Footnote Characters"/>
    <w:basedOn w:val="Standardnpsmoodstavce"/>
    <w:uiPriority w:val="99"/>
    <w:semiHidden/>
    <w:unhideWhenUsed/>
    <w:qFormat/>
    <w:rPr>
      <w:vertAlign w:val="superscript"/>
    </w:rPr>
  </w:style>
  <w:style w:type="character" w:styleId="Siln">
    <w:name w:val="Strong"/>
    <w:basedOn w:val="Standardnpsmoodstavce"/>
    <w:uiPriority w:val="22"/>
    <w:qFormat/>
    <w:rPr>
      <w:b/>
      <w:bCs/>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pPr>
      <w:spacing w:before="75"/>
      <w:jc w:val="both"/>
    </w:pPr>
    <w:rPr>
      <w:rFonts w:eastAsia="Times New Roman"/>
      <w:lang w:eastAsia="cs-CZ"/>
    </w:rPr>
  </w:style>
  <w:style w:type="paragraph" w:customStyle="1" w:styleId="Zhlavazpat">
    <w:name w:val="Záhlaví a zápatí"/>
    <w:basedOn w:val="Normln"/>
    <w:qFormat/>
  </w:style>
  <w:style w:type="paragraph" w:styleId="Zhlav">
    <w:name w:val="header"/>
    <w:basedOn w:val="Normln"/>
    <w:link w:val="ZhlavChar"/>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customStyle="1" w:styleId="Stylpaticka">
    <w:name w:val="Stylpaticka"/>
    <w:basedOn w:val="Normln"/>
    <w:link w:val="StylpatickaChar"/>
    <w:qFormat/>
    <w:pPr>
      <w:pBdr>
        <w:top w:val="single" w:sz="4" w:space="6" w:color="FF0000"/>
      </w:pBdr>
      <w:spacing w:before="200" w:after="200"/>
      <w:jc w:val="center"/>
    </w:pPr>
    <w:rPr>
      <w:rFonts w:ascii="Arial" w:hAnsi="Arial" w:cs="Arial"/>
      <w:b/>
      <w:color w:val="DA0000"/>
      <w:sz w:val="18"/>
      <w:szCs w:val="20"/>
    </w:rPr>
  </w:style>
  <w:style w:type="paragraph" w:styleId="Textbubliny">
    <w:name w:val="Balloon Text"/>
    <w:basedOn w:val="Normln"/>
    <w:link w:val="TextbublinyChar"/>
    <w:uiPriority w:val="99"/>
    <w:semiHidden/>
    <w:unhideWhenUsed/>
    <w:qFormat/>
    <w:rPr>
      <w:rFonts w:ascii="Segoe UI" w:hAnsi="Segoe UI" w:cs="Segoe UI"/>
      <w:sz w:val="18"/>
      <w:szCs w:val="18"/>
    </w:rPr>
  </w:style>
  <w:style w:type="paragraph" w:styleId="Textkomente">
    <w:name w:val="annotation text"/>
    <w:basedOn w:val="Normln"/>
    <w:link w:val="TextkomenteChar"/>
    <w:uiPriority w:val="99"/>
    <w:unhideWhenUsed/>
    <w:qFormat/>
    <w:rPr>
      <w:sz w:val="20"/>
      <w:szCs w:val="20"/>
    </w:rPr>
  </w:style>
  <w:style w:type="paragraph" w:styleId="Pedmtkomente">
    <w:name w:val="annotation subject"/>
    <w:basedOn w:val="Textkomente"/>
    <w:next w:val="Textkomente"/>
    <w:link w:val="PedmtkomenteChar"/>
    <w:uiPriority w:val="99"/>
    <w:semiHidden/>
    <w:unhideWhenUsed/>
    <w:qFormat/>
    <w:rPr>
      <w:b/>
      <w:bCs/>
    </w:rPr>
  </w:style>
  <w:style w:type="paragraph" w:customStyle="1" w:styleId="Clanek11">
    <w:name w:val="Clanek 1.1"/>
    <w:basedOn w:val="Nadpis2"/>
    <w:qFormat/>
    <w:pPr>
      <w:keepNext w:val="0"/>
      <w:keepLines w:val="0"/>
      <w:widowControl w:val="0"/>
      <w:numPr>
        <w:numId w:val="6"/>
      </w:numPr>
      <w:tabs>
        <w:tab w:val="left" w:pos="360"/>
      </w:tabs>
      <w:spacing w:before="120" w:after="120"/>
      <w:jc w:val="both"/>
    </w:pPr>
    <w:rPr>
      <w:rFonts w:ascii="Arial" w:eastAsia="Times New Roman" w:hAnsi="Arial" w:cs="Arial"/>
      <w:bCs/>
      <w:iCs/>
      <w:color w:val="auto"/>
      <w:sz w:val="22"/>
      <w:szCs w:val="28"/>
    </w:rPr>
  </w:style>
  <w:style w:type="paragraph" w:customStyle="1" w:styleId="Claneka">
    <w:name w:val="Clanek (a)"/>
    <w:basedOn w:val="Normln"/>
    <w:link w:val="ClanekaChar"/>
    <w:qFormat/>
    <w:pPr>
      <w:keepLines/>
      <w:widowControl w:val="0"/>
      <w:tabs>
        <w:tab w:val="left" w:pos="567"/>
      </w:tabs>
      <w:spacing w:before="120" w:after="120"/>
      <w:ind w:left="567" w:hanging="567"/>
      <w:jc w:val="both"/>
    </w:pPr>
    <w:rPr>
      <w:rFonts w:eastAsia="Times New Roman"/>
      <w:sz w:val="22"/>
    </w:rPr>
  </w:style>
  <w:style w:type="paragraph" w:customStyle="1" w:styleId="Claneki">
    <w:name w:val="Clanek (i)"/>
    <w:basedOn w:val="Normln"/>
    <w:qFormat/>
    <w:pPr>
      <w:keepNext/>
      <w:tabs>
        <w:tab w:val="left" w:pos="567"/>
      </w:tabs>
      <w:spacing w:before="120" w:after="120"/>
      <w:ind w:left="567" w:hanging="567"/>
      <w:jc w:val="both"/>
    </w:pPr>
    <w:rPr>
      <w:rFonts w:eastAsia="Times New Roman"/>
      <w:color w:val="000000"/>
      <w:sz w:val="22"/>
    </w:rPr>
  </w:style>
  <w:style w:type="paragraph" w:styleId="Textpoznpodarou">
    <w:name w:val="footnote text"/>
    <w:basedOn w:val="Normln"/>
    <w:link w:val="TextpoznpodarouChar"/>
    <w:uiPriority w:val="99"/>
    <w:semiHidden/>
    <w:unhideWhenUsed/>
    <w:rPr>
      <w:sz w:val="20"/>
      <w:szCs w:val="20"/>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pPr>
      <w:suppressAutoHyphens w:val="0"/>
    </w:pPr>
    <w:rPr>
      <w:rFonts w:ascii="Verdana" w:eastAsiaTheme="minorHAnsi" w:hAnsi="Verdana" w:cstheme="minorBidi"/>
      <w:sz w:val="22"/>
      <w:szCs w:val="22"/>
      <w:lang w:eastAsia="en-US"/>
    </w:rPr>
  </w:style>
  <w:style w:type="paragraph" w:styleId="Revize">
    <w:name w:val="Revision"/>
    <w:hidden/>
    <w:uiPriority w:val="99"/>
    <w:semiHidden/>
    <w:rsid w:val="004B2FDE"/>
    <w:pPr>
      <w:suppressAutoHyphens w:val="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53F3A-2139-442A-8A32-F0226E31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1396</Words>
  <Characters>8242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Jachymiáková</dc:creator>
  <dc:description/>
  <cp:lastModifiedBy>Adéla Palovská</cp:lastModifiedBy>
  <cp:revision>4</cp:revision>
  <cp:lastPrinted>2024-01-24T14:01:00Z</cp:lastPrinted>
  <dcterms:created xsi:type="dcterms:W3CDTF">2024-06-27T09:14:00Z</dcterms:created>
  <dcterms:modified xsi:type="dcterms:W3CDTF">2025-03-23T21:27:00Z</dcterms:modified>
  <dc:language>cs-CZ</dc:language>
</cp:coreProperties>
</file>