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b/>
        </w:rPr>
        <w:t xml:space="preserve">Odbor školství, sportu, kultury a mládeže Úřadu městské části </w:t>
      </w:r>
    </w:p>
    <w:p>
      <w:pPr>
        <w:rPr>
          <w:noProof/>
          <w:sz w:val="32"/>
        </w:rPr>
      </w:pPr>
      <w:r>
        <w:rPr>
          <w:b/>
        </w:rPr>
        <w:t>Dominikánská 2, 601 69 Brno</w:t>
      </w:r>
      <w:r>
        <w:rPr>
          <w:noProof/>
          <w:sz w:val="32"/>
        </w:rPr>
        <w:t xml:space="preserve"> </w:t>
      </w:r>
    </w:p>
    <w:p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-470535</wp:posOffset>
            </wp:positionH>
            <wp:positionV relativeFrom="margin">
              <wp:posOffset>-561975</wp:posOffset>
            </wp:positionV>
            <wp:extent cx="6873240" cy="713740"/>
            <wp:effectExtent l="0" t="0" r="0" b="0"/>
            <wp:wrapTight wrapText="bothSides">
              <wp:wrapPolygon edited="0">
                <wp:start x="0" y="0"/>
                <wp:lineTo x="0" y="20754"/>
                <wp:lineTo x="21552" y="20754"/>
                <wp:lineTo x="21552" y="0"/>
                <wp:lineTo x="0" y="0"/>
              </wp:wrapPolygon>
            </wp:wrapTight>
            <wp:docPr id="4" name="Obrázek 4" descr="_st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st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Protokol o otevírání nabídek </w:t>
      </w:r>
    </w:p>
    <w:p>
      <w:pPr>
        <w:jc w:val="center"/>
        <w:rPr>
          <w:b/>
          <w:bCs/>
          <w:sz w:val="36"/>
          <w:szCs w:val="36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Zadavatel veřejné zakázky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statutární město Brno, městská část Brno-střed,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Název odboru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Odbor školství, sportu, kultury a mládeže</w:t>
      </w:r>
    </w:p>
    <w:p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Název veřejné zakázky: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ZŠ a MŠ Brno, Husova 17, </w:t>
      </w:r>
      <w:proofErr w:type="spellStart"/>
      <w:r>
        <w:rPr>
          <w:rFonts w:ascii="Arial" w:hAnsi="Arial" w:cs="Arial"/>
          <w:i/>
          <w:sz w:val="20"/>
          <w:szCs w:val="20"/>
        </w:rPr>
        <w:t>p.o</w:t>
      </w:r>
      <w:proofErr w:type="spellEnd"/>
      <w:r>
        <w:rPr>
          <w:rFonts w:ascii="Arial" w:hAnsi="Arial" w:cs="Arial"/>
          <w:i/>
          <w:sz w:val="20"/>
          <w:szCs w:val="20"/>
        </w:rPr>
        <w:t>. – rekonstrukce výměníkové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stanice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 veřejné zakázky: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veřejná zakázka</w:t>
      </w:r>
      <w:r>
        <w:rPr>
          <w:rFonts w:ascii="Arial" w:hAnsi="Arial" w:cs="Arial"/>
          <w:i/>
          <w:iCs/>
          <w:sz w:val="20"/>
          <w:szCs w:val="20"/>
        </w:rPr>
        <w:t xml:space="preserve"> na stavební práce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38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3828" w:hanging="382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Režim veřejné zakázky: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veřejná zakázka</w:t>
      </w:r>
      <w:r>
        <w:rPr>
          <w:rFonts w:ascii="Arial" w:hAnsi="Arial" w:cs="Arial"/>
          <w:i/>
          <w:iCs/>
          <w:sz w:val="20"/>
          <w:szCs w:val="20"/>
        </w:rPr>
        <w:t xml:space="preserve"> malého rozsahu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3828" w:hanging="3828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plnění veřejné zakázky: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předmětem díla je rekonstrukce výměníkové stanice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 budově základní školy Husova 17. Jedná se především o tyto stavební práce: postupná demontáž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stávajícího zařízení ve VS (kondenzátní hospodářství bude ponecháno) vč. 2 ks expanzích nádrží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 půdním prostoru a montáž nového zařízení. Součástí prací bude i vyčištění systému tlakovou vodou.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Budou provedeny nátěry potrubí a opatření k omezení hluku. Dále budou provedeny předepsané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zkoušky a stavební úpravy spočívající v zapravení otvorů po demontáži zařízení, budou otlučeny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omítky v hlavní místnosti VS a v části kondenzátního hospodářství a opatřeny nátěrem. Podlaha bude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zbroušena, zapraveny rýhy a nově bude vylita samonivelační stěrkou vč. provedení ochranného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podlahového nátěru ve všech dotčených místnostech. Nedílnou součástí je dodávka </w:t>
      </w:r>
      <w:proofErr w:type="spellStart"/>
      <w:r>
        <w:rPr>
          <w:rFonts w:ascii="Arial" w:hAnsi="Arial" w:cs="Arial"/>
          <w:i/>
          <w:sz w:val="20"/>
          <w:szCs w:val="20"/>
        </w:rPr>
        <w:t>MaR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silnoproudé rozvody a elektroinstalace. Z důvodu rekonstrukce ulice Údolní je potřeba vyřízení záboru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 ulici Husova – přístup bude do budovy jen hlavním vchodem.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ind w:left="4245" w:hanging="4245"/>
        <w:rPr>
          <w:rFonts w:ascii="Arial" w:hAnsi="Arial" w:cs="Arial"/>
          <w:i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Předpokládaná hodnota veřejné zakázky:  </w:t>
      </w:r>
      <w:r>
        <w:rPr>
          <w:rFonts w:ascii="Arial" w:hAnsi="Arial" w:cs="Arial"/>
          <w:bCs/>
          <w:i/>
          <w:sz w:val="20"/>
          <w:szCs w:val="20"/>
        </w:rPr>
        <w:t>3 500 000 Kč bez DPH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Evidenční číslo veřejné zakázky v </w:t>
      </w:r>
      <w:proofErr w:type="spellStart"/>
      <w:r>
        <w:rPr>
          <w:rFonts w:ascii="Arial" w:hAnsi="Arial" w:cs="Arial"/>
          <w:b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Cs/>
          <w:i/>
          <w:sz w:val="20"/>
          <w:szCs w:val="20"/>
        </w:rPr>
        <w:t>P25V00000035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Komise pro otevírání nabídek (jméno, funkce)</w:t>
      </w:r>
      <w:r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>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Mgr. Martin Vrubel, Ph.D., 2. místostarosta MČ BS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Mgr. Petra </w:t>
      </w:r>
      <w:proofErr w:type="spellStart"/>
      <w:r>
        <w:rPr>
          <w:rFonts w:ascii="Arial" w:hAnsi="Arial" w:cs="Arial"/>
          <w:sz w:val="20"/>
          <w:szCs w:val="20"/>
        </w:rPr>
        <w:t>Ondrašíková</w:t>
      </w:r>
      <w:proofErr w:type="spellEnd"/>
      <w:r>
        <w:rPr>
          <w:rFonts w:ascii="Arial" w:hAnsi="Arial" w:cs="Arial"/>
          <w:sz w:val="20"/>
          <w:szCs w:val="20"/>
        </w:rPr>
        <w:t>, vedoucí OŠSKM ÚMČ BS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Ing. Jarmila Hlavoňová, stavební technik OŠSKM ÚMČ BS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Komisi ustanovil vedoucí odboru: Mgr. Petra </w:t>
      </w:r>
      <w:proofErr w:type="spellStart"/>
      <w:r>
        <w:rPr>
          <w:rFonts w:ascii="Arial" w:hAnsi="Arial" w:cs="Arial"/>
          <w:sz w:val="20"/>
          <w:szCs w:val="20"/>
        </w:rPr>
        <w:t>Ondrašíková</w:t>
      </w:r>
      <w:proofErr w:type="spellEnd"/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Termín pro podání nabídek </w:t>
      </w:r>
      <w:r>
        <w:rPr>
          <w:rFonts w:ascii="Arial" w:hAnsi="Arial" w:cs="Arial"/>
          <w:bCs/>
          <w:sz w:val="20"/>
          <w:szCs w:val="20"/>
        </w:rPr>
        <w:t>(dle Výzvy)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>15.04.2025</w:t>
      </w:r>
    </w:p>
    <w:p>
      <w:pPr>
        <w:rPr>
          <w:rFonts w:ascii="Arial" w:hAnsi="Arial" w:cs="Arial"/>
          <w:b/>
          <w:bCs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Komise zahájila otevírání doručených nabídek dne: </w:t>
      </w:r>
      <w:r>
        <w:rPr>
          <w:rFonts w:ascii="Arial" w:hAnsi="Arial" w:cs="Arial"/>
          <w:i/>
          <w:sz w:val="20"/>
          <w:szCs w:val="20"/>
        </w:rPr>
        <w:t>15.04.2025</w:t>
      </w:r>
      <w:r>
        <w:rPr>
          <w:rFonts w:ascii="Arial" w:hAnsi="Arial" w:cs="Arial"/>
          <w:bCs/>
          <w:i/>
          <w:sz w:val="20"/>
          <w:szCs w:val="20"/>
        </w:rPr>
        <w:t xml:space="preserve">   ve   13 </w:t>
      </w:r>
      <w:r>
        <w:rPr>
          <w:rFonts w:ascii="Arial" w:hAnsi="Arial" w:cs="Arial"/>
          <w:bCs/>
          <w:i/>
          <w:sz w:val="20"/>
          <w:szCs w:val="20"/>
          <w:vertAlign w:val="superscript"/>
        </w:rPr>
        <w:t xml:space="preserve">: </w:t>
      </w:r>
      <w:r>
        <w:rPr>
          <w:rFonts w:ascii="Arial" w:hAnsi="Arial" w:cs="Arial"/>
          <w:bCs/>
          <w:i/>
          <w:caps/>
          <w:sz w:val="20"/>
          <w:szCs w:val="20"/>
        </w:rPr>
        <w:t xml:space="preserve">53 </w:t>
      </w:r>
      <w:r>
        <w:rPr>
          <w:rFonts w:ascii="Arial" w:hAnsi="Arial" w:cs="Arial"/>
          <w:bCs/>
          <w:i/>
          <w:sz w:val="20"/>
          <w:szCs w:val="20"/>
        </w:rPr>
        <w:t xml:space="preserve">hod </w:t>
      </w:r>
    </w:p>
    <w:p>
      <w:pPr>
        <w:rPr>
          <w:rFonts w:ascii="Arial" w:hAnsi="Arial" w:cs="Arial"/>
          <w:b/>
          <w:bCs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Ve stanoveném termínu byly doručeny nabídky následujících uchazečů: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sz w:val="20"/>
          <w:szCs w:val="20"/>
        </w:rPr>
        <w:t>v pořadí, ve kterém byly nabídky doručeny, nejdříve nabídky podané v listinné podobě, poté nabídky podané v elektronické podobě)</w:t>
      </w:r>
    </w:p>
    <w:p>
      <w:pPr>
        <w:rPr>
          <w:b/>
          <w:bCs/>
        </w:rPr>
      </w:pPr>
    </w:p>
    <w:p/>
    <w:p>
      <w:pPr>
        <w:pStyle w:val="Odstavecseseznamem"/>
        <w:keepNext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ILASTAN s.r.o., Malátova 2344/12, 612 00 Brno-Královo Pole, IČO: 019 99 371                   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bez DPH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3 427 521,15 Kč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DPH: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719 758,44 Kč</w:t>
      </w:r>
    </w:p>
    <w:p>
      <w:pPr>
        <w:pStyle w:val="Odstavecseseznamem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4 147 179,59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>
      <w:pPr>
        <w:rPr>
          <w:rFonts w:ascii="Arial" w:hAnsi="Arial" w:cs="Arial"/>
          <w:b/>
          <w:bCs/>
          <w:i/>
          <w:sz w:val="20"/>
          <w:szCs w:val="20"/>
        </w:rPr>
      </w:pPr>
    </w:p>
    <w:p>
      <w:pPr>
        <w:rPr>
          <w:rFonts w:ascii="Arial" w:hAnsi="Arial" w:cs="Arial"/>
          <w:b/>
          <w:bCs/>
          <w:i/>
          <w:sz w:val="20"/>
          <w:szCs w:val="20"/>
        </w:rPr>
      </w:pPr>
    </w:p>
    <w:p>
      <w:pPr>
        <w:pStyle w:val="Odstavecseseznamem"/>
        <w:keepNext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UCHYTIL s.r.o., K terminálu 507/7, 619 00 Brno-Horní Heršpice, IČO: 607 34 078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bez DPH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3 588 000,00 Kč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DPH: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753 480,00 Kč</w:t>
      </w:r>
    </w:p>
    <w:p>
      <w:pPr>
        <w:pStyle w:val="Odstavecseseznamem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4 341 480,00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>
      <w:pPr>
        <w:rPr>
          <w:rFonts w:ascii="Arial" w:hAnsi="Arial" w:cs="Arial"/>
          <w:b/>
          <w:bCs/>
          <w:i/>
          <w:sz w:val="20"/>
          <w:szCs w:val="20"/>
        </w:rPr>
      </w:pPr>
    </w:p>
    <w:p>
      <w:pPr>
        <w:rPr>
          <w:rFonts w:ascii="Arial" w:hAnsi="Arial" w:cs="Arial"/>
          <w:b/>
          <w:bCs/>
          <w:i/>
          <w:sz w:val="20"/>
          <w:szCs w:val="20"/>
        </w:rPr>
      </w:pPr>
    </w:p>
    <w:p>
      <w:pPr>
        <w:pStyle w:val="Odstavecseseznamem"/>
        <w:keepNext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 – TZ Brno, s.r.o., Vranovská 191/38, 614 00 Brno-Zábrdovice, IČO: 652 76 931                   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bez DPH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2 683 381,87 Kč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DPH: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563 510,19 Kč</w:t>
      </w:r>
    </w:p>
    <w:p>
      <w:pPr>
        <w:pStyle w:val="Odstavecseseznamem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3 246 892,06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>
      <w:pPr>
        <w:rPr>
          <w:b/>
          <w:bCs/>
          <w:i/>
        </w:rPr>
      </w:pPr>
    </w:p>
    <w:p>
      <w:pPr>
        <w:rPr>
          <w:b/>
          <w:bCs/>
          <w:i/>
        </w:rPr>
      </w:pPr>
    </w:p>
    <w:p>
      <w:pPr>
        <w:pStyle w:val="Odstavecseseznamem"/>
        <w:keepNext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Zneplatněná nabídka</w:t>
      </w:r>
    </w:p>
    <w:p>
      <w:pPr>
        <w:rPr>
          <w:b/>
          <w:bCs/>
          <w:i/>
        </w:rPr>
      </w:pPr>
    </w:p>
    <w:p>
      <w:pPr>
        <w:rPr>
          <w:b/>
          <w:bCs/>
          <w:i/>
        </w:rPr>
      </w:pPr>
      <w:bookmarkStart w:id="0" w:name="_GoBack"/>
      <w:bookmarkEnd w:id="0"/>
    </w:p>
    <w:p>
      <w:pPr>
        <w:pStyle w:val="Odstavecseseznamem"/>
        <w:keepNext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BMS SERVIS, s.r.o., Vídeňská 186/118, 619 00 Brno-Přízřenice, IČO: 277 23 364                   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bez DPH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2 996 639,00 Kč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DPH: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629 294,19 Kč</w:t>
      </w:r>
    </w:p>
    <w:p>
      <w:pPr>
        <w:pStyle w:val="Odstavecseseznamem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3 625 933,19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>
      <w:pPr>
        <w:pStyle w:val="Odstavecseseznamem"/>
        <w:ind w:left="720"/>
        <w:rPr>
          <w:rFonts w:ascii="Arial" w:hAnsi="Arial" w:cs="Arial"/>
          <w:b/>
          <w:sz w:val="20"/>
          <w:szCs w:val="20"/>
        </w:rPr>
      </w:pPr>
    </w:p>
    <w:p>
      <w:pPr>
        <w:pStyle w:val="Odstavecseseznamem"/>
        <w:ind w:left="720"/>
        <w:rPr>
          <w:rFonts w:ascii="Arial" w:hAnsi="Arial" w:cs="Arial"/>
          <w:b/>
          <w:sz w:val="20"/>
          <w:szCs w:val="20"/>
        </w:rPr>
      </w:pPr>
    </w:p>
    <w:p>
      <w:pPr>
        <w:pStyle w:val="Odstavecseseznamem"/>
        <w:keepNext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CERGOMONT s.r.o., Horní Lhota 127, 678 01 Blansko, IČO: 469 93 223                   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bez DPH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2 757 572,00 Kč</w:t>
      </w:r>
    </w:p>
    <w:p>
      <w:pPr>
        <w:pStyle w:val="Odstavecseseznamem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DPH: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579 090,12 Kč</w:t>
      </w:r>
    </w:p>
    <w:p>
      <w:pPr>
        <w:pStyle w:val="Odstavecseseznamem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Celkem: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3 336 662,12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>
      <w:pPr>
        <w:pStyle w:val="Odstavecseseznamem"/>
        <w:ind w:left="720"/>
        <w:rPr>
          <w:rFonts w:ascii="Arial" w:hAnsi="Arial" w:cs="Arial"/>
          <w:b/>
          <w:sz w:val="20"/>
          <w:szCs w:val="20"/>
        </w:rPr>
      </w:pPr>
    </w:p>
    <w:p>
      <w:pPr>
        <w:rPr>
          <w:b/>
          <w:bCs/>
          <w:i/>
        </w:rPr>
      </w:pPr>
    </w:p>
    <w:p>
      <w:pPr>
        <w:rPr>
          <w:b/>
          <w:bCs/>
          <w:i/>
        </w:rPr>
      </w:pPr>
    </w:p>
    <w:p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Členové komise pro otevírání nabídek tímto potvrzují, že otevírání nabídek proběhlo v souladu se zásadami zadávání veřejných zakázek dle ZZVZ a že nejsou ve střetu zájmů dle § 44 ZZVZ:</w:t>
      </w:r>
    </w:p>
    <w:tbl>
      <w:tblPr>
        <w:tblStyle w:val="Mkatabulky"/>
        <w:tblpPr w:leftFromText="141" w:rightFromText="141" w:vertAnchor="text" w:horzAnchor="margin" w:tblpY="12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567"/>
        </w:trPr>
        <w:tc>
          <w:tcPr>
            <w:tcW w:w="453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 člena komise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>
        <w:trPr>
          <w:trHeight w:val="567"/>
        </w:trPr>
        <w:tc>
          <w:tcPr>
            <w:tcW w:w="453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Martin Vrubel,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53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Petra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Ondrašíková</w:t>
            </w:r>
            <w:proofErr w:type="spellEnd"/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53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Jarmila Hlavoňová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53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sectPr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  \* Arabic  \* MERGEFORMAT</w:instrText>
    </w:r>
    <w:r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NUMPAGES  \* Arabic  \* MERGEFORMAT</w:instrText>
    </w:r>
    <w:r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>
      <w:rPr>
        <w:bCs/>
        <w:sz w:val="20"/>
        <w:szCs w:val="20"/>
      </w:rPr>
      <w:fldChar w:fldCharType="end"/>
    </w:r>
    <w:r>
      <w:rPr>
        <w:sz w:val="20"/>
        <w:szCs w:val="20"/>
      </w:rPr>
      <w:tab/>
      <w:t>Protokol o otevírání nabídek</w:t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Protokol o otevírání nabídek</w:t>
    </w:r>
    <w:r>
      <w:rPr>
        <w:sz w:val="20"/>
        <w:szCs w:val="20"/>
      </w:rPr>
      <w:tab/>
      <w:t>FI_OPO_28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ind w:left="113" w:right="74" w:hanging="113"/>
        <w:jc w:val="both"/>
        <w:rPr>
          <w:color w:val="FF0000"/>
        </w:rPr>
      </w:pPr>
      <w:r>
        <w:rPr>
          <w:rStyle w:val="Znakapoznpodarou"/>
          <w:color w:val="FF0000"/>
        </w:rPr>
        <w:footnoteRef/>
      </w:r>
      <w:r>
        <w:rPr>
          <w:color w:val="FF0000"/>
        </w:rPr>
        <w:t xml:space="preserve"> Komise má nejméně 3 členy pro VZMR, přičemž min. jeden člen v Komisi je gesční radní či jiný člen ZMČ BS, pro elektronicky podané nabídky uveřejněné přes E-ZAK nejméně 2 členy, pro podlimitní a nadlimitní VZ (pouze elektronicky) má komise nejméně 2 členy, komisi jmenuje RMČ BS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21D"/>
    <w:multiLevelType w:val="hybridMultilevel"/>
    <w:tmpl w:val="17E4E5C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51"/>
    <w:multiLevelType w:val="hybridMultilevel"/>
    <w:tmpl w:val="9E68A406"/>
    <w:lvl w:ilvl="0" w:tplc="19646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2866"/>
    <w:multiLevelType w:val="hybridMultilevel"/>
    <w:tmpl w:val="42065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9F455379-E4F0-459D-B25D-8F8B6041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Ing. HlavoňováJarmila</cp:lastModifiedBy>
  <cp:revision>88</cp:revision>
  <cp:lastPrinted>2025-03-06T12:18:00Z</cp:lastPrinted>
  <dcterms:created xsi:type="dcterms:W3CDTF">2019-09-06T07:08:00Z</dcterms:created>
  <dcterms:modified xsi:type="dcterms:W3CDTF">2025-04-16T09:27:00Z</dcterms:modified>
</cp:coreProperties>
</file>