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385B" w14:textId="77777777" w:rsidR="00971728" w:rsidRDefault="00000000">
      <w:pPr>
        <w:spacing w:before="75" w:after="0" w:line="240" w:lineRule="auto"/>
        <w:jc w:val="right"/>
        <w:rPr>
          <w:rFonts w:ascii="Arial" w:eastAsia="Calibri" w:hAnsi="Arial" w:cs="Arial"/>
          <w:b/>
          <w:bCs/>
          <w:sz w:val="20"/>
          <w:szCs w:val="20"/>
          <w:lang w:eastAsia="cs-CZ"/>
        </w:rPr>
      </w:pPr>
      <w:r>
        <w:rPr>
          <w:rFonts w:ascii="Arial" w:eastAsia="Calibri" w:hAnsi="Arial" w:cs="Arial"/>
          <w:b/>
          <w:bCs/>
          <w:sz w:val="16"/>
          <w:szCs w:val="16"/>
          <w:lang w:eastAsia="cs-CZ"/>
        </w:rPr>
        <w:t>Č. J.:</w:t>
      </w:r>
      <w:r>
        <w:rPr>
          <w:rFonts w:ascii="Arial" w:eastAsia="Calibri" w:hAnsi="Arial" w:cs="Arial"/>
          <w:sz w:val="20"/>
          <w:szCs w:val="20"/>
          <w:lang w:eastAsia="cs-CZ"/>
        </w:rPr>
        <w:t xml:space="preserve"> </w:t>
      </w:r>
      <w:r>
        <w:rPr>
          <w:rFonts w:ascii="Arial" w:eastAsia="Calibri" w:hAnsi="Arial" w:cs="Arial"/>
          <w:sz w:val="18"/>
          <w:szCs w:val="18"/>
          <w:lang w:eastAsia="cs-CZ"/>
        </w:rPr>
        <w:t>MCBS/</w:t>
      </w:r>
      <w:r>
        <w:rPr>
          <w:rFonts w:ascii="Arial" w:eastAsia="Calibri" w:hAnsi="Arial" w:cs="Arial"/>
          <w:b/>
          <w:bCs/>
          <w:sz w:val="20"/>
          <w:szCs w:val="20"/>
          <w:lang w:eastAsia="cs-CZ"/>
        </w:rPr>
        <w:t xml:space="preserve"> </w:t>
      </w:r>
    </w:p>
    <w:p w14:paraId="0E0D385C" w14:textId="77777777" w:rsidR="00971728" w:rsidRDefault="00000000">
      <w:pPr>
        <w:spacing w:after="0" w:line="240" w:lineRule="auto"/>
        <w:jc w:val="right"/>
        <w:rPr>
          <w:rFonts w:ascii="Arial" w:eastAsia="Times New Roman" w:hAnsi="Arial" w:cs="Arial"/>
          <w:sz w:val="20"/>
          <w:szCs w:val="20"/>
        </w:rPr>
      </w:pPr>
      <w:r>
        <w:rPr>
          <w:rFonts w:ascii="Arial" w:eastAsia="Times New Roman" w:hAnsi="Arial" w:cs="Arial"/>
          <w:b/>
          <w:bCs/>
          <w:sz w:val="16"/>
          <w:szCs w:val="16"/>
        </w:rPr>
        <w:t>VYŘIZUJE</w:t>
      </w:r>
      <w:r>
        <w:rPr>
          <w:rFonts w:ascii="Arial" w:eastAsia="Times New Roman" w:hAnsi="Arial" w:cs="Arial"/>
          <w:b/>
          <w:bCs/>
          <w:sz w:val="20"/>
          <w:szCs w:val="20"/>
        </w:rPr>
        <w:t>:</w:t>
      </w:r>
      <w:r>
        <w:rPr>
          <w:rFonts w:ascii="Arial" w:eastAsia="Times New Roman" w:hAnsi="Arial" w:cs="Arial"/>
          <w:sz w:val="20"/>
          <w:szCs w:val="20"/>
        </w:rPr>
        <w:t xml:space="preserve"> </w:t>
      </w:r>
      <w:r>
        <w:rPr>
          <w:rFonts w:ascii="Arial" w:eastAsia="Times New Roman" w:hAnsi="Arial" w:cs="Arial"/>
          <w:sz w:val="18"/>
          <w:szCs w:val="18"/>
        </w:rPr>
        <w:t>Mgr. Ing. Veronika Gruberová</w:t>
      </w:r>
    </w:p>
    <w:p w14:paraId="0E0D385D" w14:textId="77777777" w:rsidR="00971728" w:rsidRDefault="00971728">
      <w:pPr>
        <w:spacing w:after="0" w:line="240" w:lineRule="auto"/>
        <w:jc w:val="center"/>
        <w:rPr>
          <w:rFonts w:ascii="Arial" w:eastAsia="Times New Roman" w:hAnsi="Arial" w:cs="Arial"/>
          <w:b/>
          <w:sz w:val="28"/>
          <w:szCs w:val="28"/>
        </w:rPr>
      </w:pPr>
    </w:p>
    <w:p w14:paraId="0E0D385E" w14:textId="77777777" w:rsidR="00971728" w:rsidRDefault="00000000">
      <w:pPr>
        <w:spacing w:after="0" w:line="240" w:lineRule="auto"/>
        <w:jc w:val="center"/>
        <w:rPr>
          <w:rFonts w:ascii="Arial" w:eastAsia="Times New Roman" w:hAnsi="Arial" w:cs="Arial"/>
          <w:b/>
          <w:sz w:val="28"/>
          <w:szCs w:val="28"/>
        </w:rPr>
      </w:pPr>
      <w:r>
        <w:rPr>
          <w:rFonts w:ascii="Arial" w:eastAsia="Times New Roman" w:hAnsi="Arial" w:cs="Arial"/>
          <w:b/>
          <w:sz w:val="28"/>
          <w:szCs w:val="28"/>
        </w:rPr>
        <w:t>Smlouva o činnosti pojišťovacího makléře</w:t>
      </w:r>
    </w:p>
    <w:p w14:paraId="0E0D385F" w14:textId="77777777" w:rsidR="00971728" w:rsidRDefault="00000000">
      <w:pPr>
        <w:spacing w:after="0" w:line="240" w:lineRule="auto"/>
        <w:jc w:val="center"/>
        <w:rPr>
          <w:rFonts w:ascii="Arial" w:eastAsia="Times New Roman" w:hAnsi="Arial" w:cs="Arial"/>
          <w:sz w:val="20"/>
          <w:szCs w:val="20"/>
        </w:rPr>
      </w:pPr>
      <w:r>
        <w:rPr>
          <w:rFonts w:ascii="Arial" w:eastAsia="Times New Roman" w:hAnsi="Arial" w:cs="Arial"/>
          <w:sz w:val="20"/>
          <w:szCs w:val="20"/>
        </w:rPr>
        <w:t>uzavřená podle zák. č. 89/2012, ve znění pozdějších předpisů</w:t>
      </w:r>
    </w:p>
    <w:p w14:paraId="0E0D3860" w14:textId="77777777" w:rsidR="00971728" w:rsidRDefault="00971728">
      <w:pPr>
        <w:spacing w:after="0" w:line="240" w:lineRule="auto"/>
        <w:jc w:val="center"/>
        <w:rPr>
          <w:rFonts w:ascii="Arial" w:eastAsia="Times New Roman" w:hAnsi="Arial" w:cs="Arial"/>
          <w:sz w:val="20"/>
          <w:szCs w:val="20"/>
        </w:rPr>
      </w:pPr>
    </w:p>
    <w:p w14:paraId="0E0D3861" w14:textId="77777777" w:rsidR="00971728" w:rsidRDefault="00971728">
      <w:pPr>
        <w:spacing w:after="0" w:line="240" w:lineRule="auto"/>
        <w:rPr>
          <w:rFonts w:ascii="Arial" w:eastAsia="Times New Roman" w:hAnsi="Arial" w:cs="Arial"/>
          <w:sz w:val="20"/>
          <w:szCs w:val="20"/>
        </w:rPr>
      </w:pPr>
    </w:p>
    <w:p w14:paraId="0E0D3862" w14:textId="77777777" w:rsidR="00971728" w:rsidRDefault="00000000">
      <w:pPr>
        <w:spacing w:after="0" w:line="240" w:lineRule="auto"/>
        <w:rPr>
          <w:rFonts w:ascii="Arial" w:eastAsia="Times New Roman" w:hAnsi="Arial" w:cs="Arial"/>
          <w:b/>
          <w:sz w:val="20"/>
          <w:szCs w:val="20"/>
        </w:rPr>
      </w:pPr>
      <w:r>
        <w:rPr>
          <w:rFonts w:ascii="Arial" w:eastAsia="Times New Roman" w:hAnsi="Arial" w:cs="Arial"/>
          <w:b/>
          <w:sz w:val="20"/>
          <w:szCs w:val="20"/>
        </w:rPr>
        <w:t>1. Statutární město Brno, městská část Brno-střed</w:t>
      </w:r>
    </w:p>
    <w:p w14:paraId="0E0D3863"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se sídlem Dominikánské nám. 196/1, 602 00 Brno</w:t>
      </w:r>
    </w:p>
    <w:p w14:paraId="0E0D3864"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doručovací adresa Dominikánská 264/ 2, 601 69 Brno</w:t>
      </w:r>
    </w:p>
    <w:p w14:paraId="0E0D3865" w14:textId="77777777" w:rsidR="00971728" w:rsidRDefault="00000000">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zast</w:t>
      </w:r>
      <w:proofErr w:type="spellEnd"/>
      <w:r>
        <w:rPr>
          <w:rFonts w:ascii="Arial" w:eastAsia="Times New Roman" w:hAnsi="Arial" w:cs="Arial"/>
          <w:sz w:val="20"/>
          <w:szCs w:val="20"/>
        </w:rPr>
        <w:t>. Ing. arch. Vojtěchem Menclem, starostou</w:t>
      </w:r>
    </w:p>
    <w:p w14:paraId="0E0D3866" w14:textId="77777777" w:rsidR="00971728" w:rsidRDefault="00000000">
      <w:pPr>
        <w:tabs>
          <w:tab w:val="left" w:pos="426"/>
        </w:tabs>
        <w:spacing w:after="0" w:line="240" w:lineRule="auto"/>
        <w:rPr>
          <w:rFonts w:ascii="Arial" w:eastAsia="Times New Roman" w:hAnsi="Arial" w:cs="Arial"/>
          <w:bCs/>
          <w:sz w:val="20"/>
          <w:szCs w:val="20"/>
        </w:rPr>
      </w:pPr>
      <w:r>
        <w:rPr>
          <w:rFonts w:ascii="Arial" w:eastAsia="Times New Roman" w:hAnsi="Arial" w:cs="Arial"/>
          <w:sz w:val="20"/>
          <w:szCs w:val="20"/>
        </w:rPr>
        <w:t xml:space="preserve">IČO: 449 92 785              </w:t>
      </w:r>
    </w:p>
    <w:p w14:paraId="0E0D3867"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Kontaktní e-mail: podatelna.stred@brno.cz</w:t>
      </w:r>
    </w:p>
    <w:p w14:paraId="0E0D3868" w14:textId="77777777" w:rsidR="00971728" w:rsidRDefault="00000000">
      <w:pPr>
        <w:spacing w:before="120" w:after="0" w:line="240" w:lineRule="auto"/>
        <w:rPr>
          <w:rFonts w:ascii="Arial" w:eastAsia="Times New Roman" w:hAnsi="Arial" w:cs="Arial"/>
          <w:b/>
          <w:sz w:val="20"/>
          <w:szCs w:val="20"/>
        </w:rPr>
      </w:pPr>
      <w:r>
        <w:rPr>
          <w:rFonts w:ascii="Arial" w:eastAsia="Times New Roman" w:hAnsi="Arial" w:cs="Arial"/>
          <w:sz w:val="20"/>
          <w:szCs w:val="20"/>
        </w:rPr>
        <w:t xml:space="preserve">(dále jen </w:t>
      </w:r>
      <w:r>
        <w:rPr>
          <w:rFonts w:ascii="Arial" w:eastAsia="Times New Roman" w:hAnsi="Arial" w:cs="Arial"/>
          <w:b/>
          <w:sz w:val="20"/>
          <w:szCs w:val="20"/>
        </w:rPr>
        <w:t>„MČ BS“ nebo „Klient“)</w:t>
      </w:r>
    </w:p>
    <w:p w14:paraId="0E0D3869" w14:textId="77777777" w:rsidR="00971728" w:rsidRDefault="00971728">
      <w:pPr>
        <w:spacing w:after="0" w:line="240" w:lineRule="auto"/>
        <w:rPr>
          <w:rFonts w:ascii="Arial" w:eastAsia="Times New Roman" w:hAnsi="Arial" w:cs="Arial"/>
          <w:b/>
          <w:sz w:val="20"/>
          <w:szCs w:val="20"/>
        </w:rPr>
      </w:pPr>
    </w:p>
    <w:p w14:paraId="0E0D386A" w14:textId="77777777" w:rsidR="00971728" w:rsidRDefault="00971728">
      <w:pPr>
        <w:spacing w:after="0" w:line="240" w:lineRule="auto"/>
        <w:rPr>
          <w:rFonts w:ascii="Arial" w:eastAsia="Times New Roman" w:hAnsi="Arial" w:cs="Arial"/>
          <w:b/>
          <w:sz w:val="20"/>
          <w:szCs w:val="20"/>
        </w:rPr>
      </w:pPr>
    </w:p>
    <w:p w14:paraId="0E0D386B"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a</w:t>
      </w:r>
    </w:p>
    <w:p w14:paraId="0E0D386C" w14:textId="77777777" w:rsidR="00971728" w:rsidRDefault="00971728">
      <w:pPr>
        <w:spacing w:after="0" w:line="240" w:lineRule="auto"/>
        <w:rPr>
          <w:rFonts w:ascii="Arial" w:eastAsia="Times New Roman" w:hAnsi="Arial" w:cs="Arial"/>
          <w:b/>
          <w:sz w:val="20"/>
          <w:szCs w:val="20"/>
        </w:rPr>
      </w:pPr>
    </w:p>
    <w:p w14:paraId="0E0D386D" w14:textId="77777777" w:rsidR="00971728" w:rsidRDefault="00000000">
      <w:pPr>
        <w:spacing w:after="0" w:line="240" w:lineRule="auto"/>
        <w:rPr>
          <w:rFonts w:ascii="Arial" w:eastAsia="Times New Roman" w:hAnsi="Arial" w:cs="Arial"/>
          <w:b/>
          <w:sz w:val="20"/>
          <w:szCs w:val="20"/>
        </w:rPr>
      </w:pPr>
      <w:r>
        <w:rPr>
          <w:rFonts w:ascii="Arial" w:eastAsia="Times New Roman" w:hAnsi="Arial" w:cs="Arial"/>
          <w:b/>
          <w:sz w:val="20"/>
          <w:szCs w:val="20"/>
        </w:rPr>
        <w:t xml:space="preserve">2. Název společnosti </w:t>
      </w:r>
    </w:p>
    <w:p w14:paraId="0E0D386E"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 xml:space="preserve">se sídlem: </w:t>
      </w:r>
    </w:p>
    <w:p w14:paraId="0E0D386F"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 xml:space="preserve">zastoupená: </w:t>
      </w:r>
    </w:p>
    <w:p w14:paraId="0E0D3870"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IČO: </w:t>
      </w:r>
    </w:p>
    <w:p w14:paraId="0E0D3871"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 xml:space="preserve">Kontaktní osoba ve věcech smluvních: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jméno, e-mail, tel.:  </w:t>
      </w:r>
    </w:p>
    <w:p w14:paraId="0E0D3872" w14:textId="77777777" w:rsidR="00971728" w:rsidRDefault="00000000">
      <w:pPr>
        <w:spacing w:after="0" w:line="240" w:lineRule="auto"/>
        <w:rPr>
          <w:rFonts w:ascii="Arial" w:eastAsia="Times New Roman" w:hAnsi="Arial" w:cs="Arial"/>
          <w:sz w:val="20"/>
          <w:szCs w:val="20"/>
        </w:rPr>
      </w:pPr>
      <w:r>
        <w:rPr>
          <w:rFonts w:ascii="Arial" w:eastAsia="Times New Roman" w:hAnsi="Arial" w:cs="Arial"/>
          <w:sz w:val="20"/>
          <w:szCs w:val="20"/>
        </w:rPr>
        <w:t xml:space="preserve">Kontaktní osoba pro nahlašování pojistných událostí: </w:t>
      </w:r>
      <w:r>
        <w:rPr>
          <w:rFonts w:ascii="Arial" w:eastAsia="Times New Roman" w:hAnsi="Arial" w:cs="Arial"/>
          <w:sz w:val="20"/>
          <w:szCs w:val="20"/>
        </w:rPr>
        <w:tab/>
        <w:t xml:space="preserve">jméno, e-mail, tel.:  </w:t>
      </w:r>
    </w:p>
    <w:p w14:paraId="0E0D3873" w14:textId="77777777" w:rsidR="00971728" w:rsidRDefault="00000000">
      <w:pPr>
        <w:spacing w:before="120" w:after="0" w:line="240" w:lineRule="auto"/>
        <w:rPr>
          <w:rFonts w:ascii="Arial" w:eastAsia="Times New Roman" w:hAnsi="Arial" w:cs="Arial"/>
          <w:b/>
          <w:sz w:val="20"/>
          <w:szCs w:val="20"/>
        </w:rPr>
      </w:pPr>
      <w:r>
        <w:rPr>
          <w:rFonts w:ascii="Arial" w:eastAsia="Times New Roman" w:hAnsi="Arial" w:cs="Arial"/>
          <w:sz w:val="20"/>
          <w:szCs w:val="20"/>
        </w:rPr>
        <w:t xml:space="preserve"> (dále jen </w:t>
      </w:r>
      <w:r>
        <w:rPr>
          <w:rFonts w:ascii="Arial" w:eastAsia="Times New Roman" w:hAnsi="Arial" w:cs="Arial"/>
          <w:b/>
          <w:sz w:val="20"/>
          <w:szCs w:val="20"/>
        </w:rPr>
        <w:t>„Makléř“)</w:t>
      </w:r>
    </w:p>
    <w:p w14:paraId="0E0D3874" w14:textId="77777777" w:rsidR="00971728" w:rsidRDefault="00971728"/>
    <w:p w14:paraId="0E0D3875" w14:textId="77777777" w:rsidR="00971728" w:rsidRDefault="00000000">
      <w:pPr>
        <w:widowControl w:val="0"/>
        <w:autoSpaceDE w:val="0"/>
        <w:autoSpaceDN w:val="0"/>
        <w:adjustRightInd w:val="0"/>
        <w:spacing w:after="120" w:line="240" w:lineRule="auto"/>
        <w:ind w:left="3493"/>
        <w:rPr>
          <w:rFonts w:ascii="Arial" w:hAnsi="Arial" w:cs="Arial"/>
          <w:b/>
          <w:sz w:val="24"/>
          <w:szCs w:val="24"/>
        </w:rPr>
      </w:pPr>
      <w:r>
        <w:rPr>
          <w:rFonts w:ascii="Arial" w:hAnsi="Arial" w:cs="Arial"/>
          <w:b/>
        </w:rPr>
        <w:t>1. Předmět smlouvy</w:t>
      </w:r>
    </w:p>
    <w:p w14:paraId="0E0D3876" w14:textId="77777777" w:rsidR="00971728" w:rsidRDefault="00000000">
      <w:pPr>
        <w:pStyle w:val="Odstavecseseznamem"/>
        <w:widowControl w:val="0"/>
        <w:numPr>
          <w:ilvl w:val="0"/>
          <w:numId w:val="6"/>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 xml:space="preserve">Makléř se dle této smlouvy zavazuje pro MČ BS dle požadavků MČ BS, udělených pokynů a v zájmu MČ BS vykonávat odbornou poradenskou činnost v oblasti pojišťovnictví. </w:t>
      </w:r>
    </w:p>
    <w:p w14:paraId="0E0D3877" w14:textId="77777777" w:rsidR="00971728" w:rsidRDefault="00000000">
      <w:pPr>
        <w:pStyle w:val="Odstavecseseznamem"/>
        <w:widowControl w:val="0"/>
        <w:autoSpaceDE w:val="0"/>
        <w:autoSpaceDN w:val="0"/>
        <w:adjustRightInd w:val="0"/>
        <w:spacing w:before="120" w:after="0" w:line="240" w:lineRule="auto"/>
        <w:ind w:left="567"/>
        <w:jc w:val="both"/>
        <w:rPr>
          <w:rFonts w:ascii="Arial" w:hAnsi="Arial" w:cs="Arial"/>
          <w:sz w:val="24"/>
          <w:szCs w:val="24"/>
        </w:rPr>
      </w:pPr>
      <w:r>
        <w:rPr>
          <w:rFonts w:ascii="Arial" w:hAnsi="Arial" w:cs="Arial"/>
          <w:color w:val="000000"/>
          <w:sz w:val="20"/>
          <w:szCs w:val="20"/>
        </w:rPr>
        <w:t>Činnost pojišťovacího makléře spočívá v</w:t>
      </w:r>
      <w:r>
        <w:rPr>
          <w:rFonts w:ascii="Times New Roman" w:hAnsi="Times New Roman" w:cs="Times New Roman"/>
          <w:color w:val="000000"/>
          <w:sz w:val="20"/>
          <w:szCs w:val="20"/>
        </w:rPr>
        <w:t>:</w:t>
      </w:r>
    </w:p>
    <w:p w14:paraId="0E0D3878" w14:textId="77777777" w:rsidR="00971728" w:rsidRDefault="00000000">
      <w:pPr>
        <w:pStyle w:val="Odstavecseseznamem"/>
        <w:widowControl w:val="0"/>
        <w:numPr>
          <w:ilvl w:val="0"/>
          <w:numId w:val="7"/>
        </w:numPr>
        <w:autoSpaceDE w:val="0"/>
        <w:autoSpaceDN w:val="0"/>
        <w:adjustRightInd w:val="0"/>
        <w:spacing w:before="159" w:after="0" w:line="240" w:lineRule="auto"/>
        <w:ind w:left="993" w:right="57" w:hanging="284"/>
        <w:jc w:val="both"/>
        <w:rPr>
          <w:rFonts w:ascii="Arial" w:hAnsi="Arial" w:cs="Arial"/>
          <w:sz w:val="20"/>
          <w:szCs w:val="20"/>
        </w:rPr>
      </w:pPr>
      <w:r>
        <w:rPr>
          <w:rFonts w:ascii="Arial" w:hAnsi="Arial" w:cs="Arial"/>
          <w:b/>
          <w:bCs/>
          <w:sz w:val="20"/>
          <w:szCs w:val="20"/>
        </w:rPr>
        <w:t>poskytování odborné poradenské a konzultační pomoci v oblasti řízení rizika a všech druhů pojištění</w:t>
      </w:r>
      <w:r>
        <w:rPr>
          <w:rFonts w:ascii="Arial" w:hAnsi="Arial" w:cs="Arial"/>
          <w:sz w:val="20"/>
          <w:szCs w:val="20"/>
        </w:rPr>
        <w:t>, tj. provádění analýzy rizik MČ BS a poskytování odborných doporučení v oblasti jejich identifikace a hodnocení, návrh opatření k jejich omezení a optimalizace pojistných programů; poskytování konzultací k jednotlivým druhům pojištění dostupným na trhu, včetně srovnání jejich výhod a nevýhod pro potřeby MČ BS;</w:t>
      </w:r>
    </w:p>
    <w:p w14:paraId="0E0D3879" w14:textId="77777777" w:rsidR="00971728" w:rsidRDefault="00000000">
      <w:pPr>
        <w:pStyle w:val="Odstavecseseznamem"/>
        <w:widowControl w:val="0"/>
        <w:numPr>
          <w:ilvl w:val="0"/>
          <w:numId w:val="7"/>
        </w:numPr>
        <w:autoSpaceDE w:val="0"/>
        <w:autoSpaceDN w:val="0"/>
        <w:adjustRightInd w:val="0"/>
        <w:spacing w:before="159" w:after="0" w:line="240" w:lineRule="auto"/>
        <w:ind w:left="993" w:right="57" w:hanging="284"/>
        <w:jc w:val="both"/>
        <w:rPr>
          <w:rFonts w:ascii="Arial" w:hAnsi="Arial" w:cs="Arial"/>
          <w:sz w:val="20"/>
          <w:szCs w:val="20"/>
        </w:rPr>
      </w:pPr>
      <w:r>
        <w:rPr>
          <w:rFonts w:ascii="Arial" w:hAnsi="Arial" w:cs="Arial"/>
          <w:b/>
          <w:bCs/>
          <w:sz w:val="20"/>
          <w:szCs w:val="20"/>
        </w:rPr>
        <w:t>poskytování poradenství v záležitostech týkajících se pojištění MČ BS</w:t>
      </w:r>
      <w:r>
        <w:rPr>
          <w:rFonts w:ascii="Arial" w:hAnsi="Arial" w:cs="Arial"/>
          <w:sz w:val="20"/>
          <w:szCs w:val="20"/>
        </w:rPr>
        <w:t>, tj. poskytování poradenských služeb v souvislosti s uzavíráním, změnami, obnovováním a správou pojistných smluv MČ BS, včetně přípravy návrhů a doporučení k rozsahu a parametrům a podmínkám pojistného krytí;</w:t>
      </w:r>
    </w:p>
    <w:p w14:paraId="0E0D387A" w14:textId="77777777" w:rsidR="00971728" w:rsidRDefault="00000000">
      <w:pPr>
        <w:pStyle w:val="Odstavecseseznamem"/>
        <w:widowControl w:val="0"/>
        <w:numPr>
          <w:ilvl w:val="0"/>
          <w:numId w:val="7"/>
        </w:numPr>
        <w:autoSpaceDE w:val="0"/>
        <w:autoSpaceDN w:val="0"/>
        <w:adjustRightInd w:val="0"/>
        <w:spacing w:before="159" w:after="0" w:line="240" w:lineRule="auto"/>
        <w:ind w:left="993" w:right="57" w:hanging="284"/>
        <w:jc w:val="both"/>
        <w:rPr>
          <w:rFonts w:ascii="Arial" w:hAnsi="Arial" w:cs="Arial"/>
          <w:sz w:val="20"/>
          <w:szCs w:val="20"/>
        </w:rPr>
      </w:pPr>
      <w:r>
        <w:rPr>
          <w:rFonts w:ascii="Arial" w:hAnsi="Arial" w:cs="Arial"/>
          <w:b/>
          <w:bCs/>
          <w:sz w:val="20"/>
          <w:szCs w:val="20"/>
        </w:rPr>
        <w:t>poskytování aktivní pomoci při vyřizování nároků z pojistných smluv, součinnost při likvidaci pojistných událostí</w:t>
      </w:r>
      <w:r>
        <w:rPr>
          <w:rFonts w:ascii="Arial" w:hAnsi="Arial" w:cs="Arial"/>
          <w:sz w:val="20"/>
          <w:szCs w:val="20"/>
        </w:rPr>
        <w:t>, tj. posouzení oprávněnosti a správnosti uplatňovaných nároků, přípravu a předání potřebné dokumentace pojišťovně, komunikaci s pojišťovnou v průběhu likvidačního řízení, zastupování a hájení oprávněných zájmů MČ BS vůči pojišťovně, průběžné informování o stavu řešení pojistné události a odborné doporučení dalšího postupu až do konečného vypořádání.</w:t>
      </w:r>
    </w:p>
    <w:p w14:paraId="0E0D387B" w14:textId="77777777" w:rsidR="00971728" w:rsidRDefault="00000000">
      <w:pPr>
        <w:pStyle w:val="Odstavecseseznamem"/>
        <w:widowControl w:val="0"/>
        <w:numPr>
          <w:ilvl w:val="0"/>
          <w:numId w:val="6"/>
        </w:numPr>
        <w:autoSpaceDE w:val="0"/>
        <w:autoSpaceDN w:val="0"/>
        <w:adjustRightInd w:val="0"/>
        <w:spacing w:before="120" w:after="0" w:line="240" w:lineRule="auto"/>
        <w:ind w:left="567" w:hanging="567"/>
        <w:jc w:val="both"/>
        <w:rPr>
          <w:rFonts w:ascii="Arial" w:hAnsi="Arial" w:cs="Arial"/>
          <w:sz w:val="24"/>
          <w:szCs w:val="24"/>
        </w:rPr>
      </w:pPr>
      <w:bookmarkStart w:id="0" w:name="_Ref212470445"/>
      <w:r>
        <w:rPr>
          <w:rFonts w:ascii="Arial" w:hAnsi="Arial" w:cs="Arial"/>
          <w:color w:val="000000"/>
          <w:sz w:val="20"/>
          <w:szCs w:val="20"/>
        </w:rPr>
        <w:t xml:space="preserve">Pro účely prokázání oprávnění Makléře k zastupování MČ BS vůči pojišťovnám, uděluje MČ BS Makléři písemnou </w:t>
      </w:r>
      <w:r>
        <w:rPr>
          <w:rFonts w:ascii="Arial" w:hAnsi="Arial" w:cs="Arial"/>
          <w:b/>
          <w:bCs/>
          <w:color w:val="000000"/>
          <w:sz w:val="20"/>
          <w:szCs w:val="20"/>
        </w:rPr>
        <w:t>„Plnou moc“</w:t>
      </w:r>
      <w:r>
        <w:rPr>
          <w:rFonts w:ascii="Arial" w:hAnsi="Arial" w:cs="Arial"/>
          <w:color w:val="000000"/>
          <w:sz w:val="20"/>
          <w:szCs w:val="20"/>
        </w:rPr>
        <w:t>, která tvoří přílohu č. 1 této smlouvy.</w:t>
      </w:r>
      <w:bookmarkEnd w:id="0"/>
    </w:p>
    <w:p w14:paraId="0E0D387C" w14:textId="77777777" w:rsidR="00971728" w:rsidRDefault="00000000">
      <w:pPr>
        <w:pStyle w:val="Odstavecseseznamem"/>
        <w:widowControl w:val="0"/>
        <w:numPr>
          <w:ilvl w:val="0"/>
          <w:numId w:val="6"/>
        </w:numPr>
        <w:autoSpaceDE w:val="0"/>
        <w:autoSpaceDN w:val="0"/>
        <w:adjustRightInd w:val="0"/>
        <w:spacing w:before="120" w:after="0" w:line="240" w:lineRule="auto"/>
        <w:ind w:left="567" w:hanging="567"/>
        <w:jc w:val="both"/>
        <w:rPr>
          <w:rFonts w:ascii="Arial" w:hAnsi="Arial" w:cs="Arial"/>
          <w:color w:val="000000"/>
          <w:sz w:val="20"/>
          <w:szCs w:val="20"/>
        </w:rPr>
      </w:pPr>
      <w:r>
        <w:rPr>
          <w:rFonts w:ascii="Arial" w:hAnsi="Arial" w:cs="Arial"/>
          <w:color w:val="000000"/>
          <w:sz w:val="20"/>
          <w:szCs w:val="20"/>
        </w:rPr>
        <w:t xml:space="preserve">Plná moc dle odstavce </w:t>
      </w:r>
      <w:r>
        <w:rPr>
          <w:rFonts w:ascii="Arial" w:hAnsi="Arial" w:cs="Arial"/>
          <w:color w:val="000000"/>
          <w:sz w:val="20"/>
          <w:szCs w:val="20"/>
        </w:rPr>
        <w:fldChar w:fldCharType="begin"/>
      </w:r>
      <w:r>
        <w:rPr>
          <w:rFonts w:ascii="Arial" w:hAnsi="Arial" w:cs="Arial"/>
          <w:color w:val="000000"/>
          <w:sz w:val="20"/>
          <w:szCs w:val="20"/>
        </w:rPr>
        <w:instrText xml:space="preserve"> REF _Ref212470445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1.2</w:t>
      </w:r>
      <w:r>
        <w:rPr>
          <w:rFonts w:ascii="Arial" w:hAnsi="Arial" w:cs="Arial"/>
          <w:color w:val="000000"/>
          <w:sz w:val="20"/>
          <w:szCs w:val="20"/>
        </w:rPr>
        <w:fldChar w:fldCharType="end"/>
      </w:r>
      <w:r>
        <w:rPr>
          <w:rFonts w:ascii="Arial" w:hAnsi="Arial" w:cs="Arial"/>
          <w:color w:val="000000"/>
          <w:sz w:val="20"/>
          <w:szCs w:val="20"/>
        </w:rPr>
        <w:t xml:space="preserve">. výše je Makléři udělena na dobu trvání této smlouvy. Tato plná moc zaniká ukončením nebo zánikem této smlouvy. </w:t>
      </w:r>
    </w:p>
    <w:p w14:paraId="0E0D387D" w14:textId="77777777" w:rsidR="00971728" w:rsidRDefault="00000000">
      <w:pPr>
        <w:pStyle w:val="Odstavecseseznamem"/>
        <w:widowControl w:val="0"/>
        <w:numPr>
          <w:ilvl w:val="0"/>
          <w:numId w:val="6"/>
        </w:numPr>
        <w:autoSpaceDE w:val="0"/>
        <w:autoSpaceDN w:val="0"/>
        <w:adjustRightInd w:val="0"/>
        <w:spacing w:before="120" w:after="0" w:line="240" w:lineRule="auto"/>
        <w:ind w:left="567" w:hanging="567"/>
        <w:jc w:val="both"/>
        <w:rPr>
          <w:rFonts w:ascii="Arial" w:hAnsi="Arial" w:cs="Arial"/>
          <w:color w:val="000000"/>
          <w:sz w:val="20"/>
          <w:szCs w:val="20"/>
        </w:rPr>
      </w:pPr>
      <w:r>
        <w:rPr>
          <w:rFonts w:ascii="Arial" w:hAnsi="Arial" w:cs="Arial"/>
          <w:sz w:val="20"/>
          <w:szCs w:val="20"/>
        </w:rPr>
        <w:t>Smluvní strany berou na vědomí, že tato smlouva a připojená plná moc mohou být poskytnuty příslušné pojišťovně. Ve vztahu k ostatním subjektům jsou tyto dokumenty považovány za důvěrné a podléhají režimu mlčenlivosti.</w:t>
      </w:r>
    </w:p>
    <w:p w14:paraId="0E0D387E" w14:textId="77777777" w:rsidR="00971728" w:rsidRDefault="00000000">
      <w:pPr>
        <w:pStyle w:val="Odstavecseseznamem"/>
        <w:widowControl w:val="0"/>
        <w:numPr>
          <w:ilvl w:val="0"/>
          <w:numId w:val="6"/>
        </w:numPr>
        <w:autoSpaceDE w:val="0"/>
        <w:autoSpaceDN w:val="0"/>
        <w:adjustRightInd w:val="0"/>
        <w:spacing w:before="120" w:after="0" w:line="240" w:lineRule="auto"/>
        <w:ind w:left="567" w:hanging="567"/>
        <w:jc w:val="both"/>
        <w:rPr>
          <w:rFonts w:ascii="Arial" w:hAnsi="Arial" w:cs="Arial"/>
          <w:color w:val="000000"/>
          <w:sz w:val="20"/>
          <w:szCs w:val="20"/>
        </w:rPr>
      </w:pPr>
      <w:r>
        <w:rPr>
          <w:rFonts w:ascii="Arial" w:hAnsi="Arial" w:cs="Arial"/>
          <w:sz w:val="20"/>
          <w:szCs w:val="20"/>
        </w:rPr>
        <w:t>Plná moc zmocněnce neopravňuje za zmocnitele pojistné smlouvy a jejich dodatky uzavírat, podepisovat ani ukončovat.</w:t>
      </w:r>
    </w:p>
    <w:p w14:paraId="0E0D387F" w14:textId="77777777" w:rsidR="00971728" w:rsidRDefault="00000000">
      <w:pPr>
        <w:pStyle w:val="Odstavecseseznamem"/>
        <w:widowControl w:val="0"/>
        <w:numPr>
          <w:ilvl w:val="0"/>
          <w:numId w:val="6"/>
        </w:numPr>
        <w:autoSpaceDE w:val="0"/>
        <w:autoSpaceDN w:val="0"/>
        <w:adjustRightInd w:val="0"/>
        <w:spacing w:before="120" w:after="0" w:line="240" w:lineRule="auto"/>
        <w:ind w:left="567" w:hanging="567"/>
        <w:jc w:val="both"/>
        <w:rPr>
          <w:rFonts w:ascii="Arial" w:hAnsi="Arial" w:cs="Arial"/>
          <w:sz w:val="20"/>
          <w:szCs w:val="20"/>
        </w:rPr>
      </w:pPr>
      <w:r>
        <w:rPr>
          <w:rFonts w:ascii="Arial" w:hAnsi="Arial" w:cs="Arial"/>
          <w:sz w:val="20"/>
          <w:szCs w:val="20"/>
        </w:rPr>
        <w:t>Ke dni uzavření této smlouvy uzavřela MČ BS s Hasičskou vzájemnou pojišťovnou, a.s., IČO: </w:t>
      </w:r>
      <w:r>
        <w:rPr>
          <w:rFonts w:ascii="Arial" w:hAnsi="Arial" w:cs="Arial"/>
          <w:sz w:val="20"/>
          <w:szCs w:val="20"/>
          <w:shd w:val="clear" w:color="auto" w:fill="FFFFFF"/>
        </w:rPr>
        <w:t>469 73 451, se sídlem</w:t>
      </w:r>
      <w:r>
        <w:rPr>
          <w:rFonts w:ascii="Arial" w:hAnsi="Arial" w:cs="Arial"/>
          <w:sz w:val="20"/>
          <w:szCs w:val="20"/>
        </w:rPr>
        <w:t xml:space="preserve"> </w:t>
      </w:r>
      <w:r>
        <w:rPr>
          <w:rFonts w:ascii="Arial" w:hAnsi="Arial" w:cs="Arial"/>
          <w:sz w:val="20"/>
          <w:szCs w:val="20"/>
          <w:shd w:val="clear" w:color="auto" w:fill="FFFFFF"/>
        </w:rPr>
        <w:t>Římská 2135/45</w:t>
      </w:r>
      <w:r>
        <w:rPr>
          <w:rFonts w:ascii="Arial" w:hAnsi="Arial" w:cs="Arial"/>
          <w:sz w:val="20"/>
          <w:szCs w:val="20"/>
        </w:rPr>
        <w:t>, 120 00 Praha 2 (dále jen jako „pojišťovna“) následující smlouvy:</w:t>
      </w:r>
    </w:p>
    <w:p w14:paraId="0E0D3880" w14:textId="77777777" w:rsidR="00971728" w:rsidRDefault="00000000">
      <w:pPr>
        <w:pStyle w:val="Odstavecseseznamem"/>
        <w:widowControl w:val="0"/>
        <w:numPr>
          <w:ilvl w:val="1"/>
          <w:numId w:val="6"/>
        </w:numPr>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lastRenderedPageBreak/>
        <w:t>pojistnou smlouvu ze dne 28.04.2023, č.j. MCBS/2023/0074300/NEMI, jejímž předmětem je pojištění motorových vozidel.</w:t>
      </w:r>
    </w:p>
    <w:p w14:paraId="0E0D3881" w14:textId="77777777" w:rsidR="00971728" w:rsidRDefault="00000000">
      <w:pPr>
        <w:pStyle w:val="Odstavecseseznamem"/>
        <w:widowControl w:val="0"/>
        <w:numPr>
          <w:ilvl w:val="1"/>
          <w:numId w:val="6"/>
        </w:numPr>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 xml:space="preserve">pojistnou smlouvu ze dne 30.10.2024, č.j. MCBS/2024/0171786/NEMI, jejímž předmětem je pojištění majetku a odpovědnosti za škodu. </w:t>
      </w:r>
    </w:p>
    <w:p w14:paraId="0E0D3882" w14:textId="77777777" w:rsidR="00971728" w:rsidRDefault="00000000">
      <w:pPr>
        <w:pStyle w:val="Odstavecseseznamem"/>
        <w:widowControl w:val="0"/>
        <w:autoSpaceDE w:val="0"/>
        <w:autoSpaceDN w:val="0"/>
        <w:adjustRightInd w:val="0"/>
        <w:spacing w:before="120" w:after="0" w:line="240" w:lineRule="auto"/>
        <w:ind w:left="567"/>
        <w:jc w:val="both"/>
        <w:rPr>
          <w:rFonts w:ascii="Arial" w:hAnsi="Arial" w:cs="Arial"/>
          <w:color w:val="000000"/>
          <w:sz w:val="20"/>
          <w:szCs w:val="20"/>
        </w:rPr>
      </w:pPr>
      <w:r>
        <w:rPr>
          <w:rFonts w:ascii="Arial" w:hAnsi="Arial" w:cs="Arial"/>
          <w:sz w:val="20"/>
          <w:szCs w:val="20"/>
        </w:rPr>
        <w:t>O jakékoliv změně pojišťovny nebo pojistných smluv je Klient povinen Makléře neprodleně informovat.</w:t>
      </w:r>
      <w:r>
        <w:rPr>
          <w:rFonts w:ascii="Arial" w:hAnsi="Arial" w:cs="Arial"/>
          <w:color w:val="FF0000"/>
          <w:sz w:val="20"/>
          <w:szCs w:val="20"/>
        </w:rPr>
        <w:t xml:space="preserve">  </w:t>
      </w:r>
    </w:p>
    <w:p w14:paraId="0E0D3883" w14:textId="77777777" w:rsidR="00971728" w:rsidRDefault="00971728"/>
    <w:p w14:paraId="0E0D3884" w14:textId="77777777" w:rsidR="00971728" w:rsidRDefault="00000000">
      <w:pPr>
        <w:widowControl w:val="0"/>
        <w:autoSpaceDE w:val="0"/>
        <w:autoSpaceDN w:val="0"/>
        <w:adjustRightInd w:val="0"/>
        <w:spacing w:after="120" w:line="240" w:lineRule="auto"/>
        <w:ind w:left="3413"/>
        <w:rPr>
          <w:rFonts w:ascii="Arial" w:hAnsi="Arial" w:cs="Arial"/>
          <w:b/>
          <w:sz w:val="24"/>
          <w:szCs w:val="24"/>
        </w:rPr>
      </w:pPr>
      <w:r>
        <w:rPr>
          <w:rFonts w:ascii="Arial" w:hAnsi="Arial" w:cs="Arial"/>
          <w:b/>
        </w:rPr>
        <w:t>2. Povinnosti Makléře</w:t>
      </w:r>
    </w:p>
    <w:p w14:paraId="0E0D3885" w14:textId="77777777" w:rsidR="00971728" w:rsidRDefault="00000000">
      <w:pPr>
        <w:pStyle w:val="Odstavecseseznamem"/>
        <w:widowControl w:val="0"/>
        <w:numPr>
          <w:ilvl w:val="0"/>
          <w:numId w:val="8"/>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Makléř prohlašuje, že jako pojišťovací makléř je plně nezávislý (osobně, kapitálově či jinak) na kterékoliv pojišťovně podnikající na českém pojišťovacím trhu v souladu s platnou právní úpravou.</w:t>
      </w:r>
    </w:p>
    <w:p w14:paraId="0E0D3886"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 xml:space="preserve">Makléř se zavazuje při plnění závazku z této smlouvy jednat bez zbytečného prodlení s nejvyšší odbornou péčí odpovídající své kvalifikaci a znalostem. </w:t>
      </w:r>
    </w:p>
    <w:p w14:paraId="0E0D3887"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Ve smyslu platných pojistných smluv se Makléř zavazuje:</w:t>
      </w:r>
    </w:p>
    <w:p w14:paraId="0E0D3888"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Průběžně posuzovat pojistné potřeby Klienta a analyzovat rizika vyplývající z činnosti a majetku Klienta, a podávat doporučení týkající se prevence či zábrany škod.</w:t>
      </w:r>
    </w:p>
    <w:p w14:paraId="0E0D3889"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Reagovat na požadavky na změny či doplnění k pojištění po obdržení takových požadavků od Klienta bez zbytečného odkladu.</w:t>
      </w:r>
    </w:p>
    <w:p w14:paraId="0E0D388A"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Poskytovat Klientovi informace a/nebo konzultace týkající se právních důsledků Klientem sjednaných platných pojistných smluv s tím, že takové informace a/nebo konzultace poskytuje Makléř v rozsahu své odbornosti pojišťovacího makléře, nikoliv jako právní poradce či právní expert.</w:t>
      </w:r>
    </w:p>
    <w:p w14:paraId="0E0D388B"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color w:val="000000"/>
          <w:sz w:val="20"/>
          <w:szCs w:val="20"/>
        </w:rPr>
      </w:pPr>
      <w:r>
        <w:rPr>
          <w:rFonts w:ascii="Arial" w:hAnsi="Arial" w:cs="Arial"/>
          <w:color w:val="000000"/>
          <w:sz w:val="20"/>
          <w:szCs w:val="20"/>
        </w:rPr>
        <w:t>Poskytovat Klientovi konzultace o vývoji pojistného trhu včetně informování o nových pojistných produktech a Makléřově názoru na finanční stabilitu a úroveň poskytovaných služeb stávajících pojistitelů s tím, že Makléř bude Klienta bezodkladně informovat o změnách finanční stability těchto pojistitelů.</w:t>
      </w:r>
    </w:p>
    <w:p w14:paraId="0E0D388C"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color w:val="000000"/>
          <w:sz w:val="20"/>
          <w:szCs w:val="20"/>
        </w:rPr>
      </w:pPr>
      <w:r>
        <w:rPr>
          <w:rFonts w:ascii="Arial" w:hAnsi="Arial" w:cs="Arial"/>
          <w:color w:val="000000"/>
          <w:sz w:val="20"/>
          <w:szCs w:val="20"/>
        </w:rPr>
        <w:t>Poskytovat Klientovi rady, v rámci rozsahu znalostí pojišťovacího makléře, o důležitých aspektech ujednání o pojištění v obchodních či jiných smlouvách uzavíraných nebo připravovaných k uzavření Klientem ve vztahu k existujícím pojistným smlouvám.</w:t>
      </w:r>
    </w:p>
    <w:p w14:paraId="0E0D388D"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0"/>
          <w:szCs w:val="20"/>
        </w:rPr>
      </w:pPr>
      <w:r>
        <w:rPr>
          <w:rFonts w:ascii="Arial" w:hAnsi="Arial" w:cs="Arial"/>
          <w:sz w:val="20"/>
          <w:szCs w:val="20"/>
        </w:rPr>
        <w:t>Vést evidenci všech aktuálně řešených i vyřízených pojistných událostí a pravidelně, minimálně jednou za čtvrtletí, informovat Klienta o aktuálním stavu formou písemného reportu. Čtvrtletní report bude obsahovat datum vzniku škodní události, místo, kde ke škodní události došlo, jméno či název poškozeného, stručný popis události, druh pojistné události, výši spoluúčasti, odhadovanou výši škody, výše plnění, aktuální stav řešení a případné další relevantní informace.</w:t>
      </w:r>
    </w:p>
    <w:p w14:paraId="0E0D388E"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0"/>
          <w:szCs w:val="20"/>
        </w:rPr>
      </w:pPr>
      <w:r>
        <w:rPr>
          <w:rFonts w:ascii="Arial" w:hAnsi="Arial" w:cs="Arial"/>
          <w:sz w:val="20"/>
          <w:szCs w:val="20"/>
        </w:rPr>
        <w:t>Mít k dispozici elektronický systém pro evidenci pojistných událostí řešených i vyřízených s přístupem pro MČ BS. Veškerá hlášení pojistných událostí budou prováděna výhradně prostřednictvím jednoduchých elektronických formulářů.</w:t>
      </w:r>
    </w:p>
    <w:p w14:paraId="0E0D388F" w14:textId="77777777" w:rsidR="00971728" w:rsidRDefault="00000000">
      <w:pPr>
        <w:pStyle w:val="Odstavecseseznamem"/>
        <w:widowControl w:val="0"/>
        <w:numPr>
          <w:ilvl w:val="0"/>
          <w:numId w:val="9"/>
        </w:numPr>
        <w:autoSpaceDE w:val="0"/>
        <w:autoSpaceDN w:val="0"/>
        <w:adjustRightInd w:val="0"/>
        <w:spacing w:after="0" w:line="240" w:lineRule="auto"/>
        <w:ind w:left="1070"/>
        <w:jc w:val="both"/>
        <w:rPr>
          <w:rFonts w:ascii="Arial" w:hAnsi="Arial" w:cs="Arial"/>
          <w:sz w:val="20"/>
          <w:szCs w:val="20"/>
        </w:rPr>
      </w:pPr>
      <w:commentRangeStart w:id="1"/>
      <w:r>
        <w:rPr>
          <w:rFonts w:ascii="Arial" w:hAnsi="Arial" w:cs="Arial"/>
          <w:sz w:val="20"/>
          <w:szCs w:val="20"/>
        </w:rPr>
        <w:t>Zajistit likvidaci nahlášených pojistných událostí tzn. shromáždit a zkompletovat veškeré materiály pro likvidaci škody (včetně pořízení a třídění fotografií a dalších dokladů (např. faktur), zajištění předběžného odhadu škody, získaní cenové nabídky posudků a dalších dokumentů nezbytných pro určení výše škody. (Součástí této činnosti jsou / nejsou náklady na vyhotovení odborných posudků, tyto náklady hradí Klient přímo na základě objednávek vystavených ve prospěch dodavatelů těchto posudků).</w:t>
      </w:r>
      <w:commentRangeEnd w:id="1"/>
      <w:r w:rsidR="00C3082B">
        <w:rPr>
          <w:rStyle w:val="Odkaznakoment"/>
        </w:rPr>
        <w:commentReference w:id="1"/>
      </w:r>
    </w:p>
    <w:p w14:paraId="0E0D3890" w14:textId="77777777" w:rsidR="00971728" w:rsidRDefault="00000000">
      <w:pPr>
        <w:pStyle w:val="Odstavecseseznamem"/>
        <w:widowControl w:val="0"/>
        <w:autoSpaceDE w:val="0"/>
        <w:autoSpaceDN w:val="0"/>
        <w:adjustRightInd w:val="0"/>
        <w:spacing w:after="0" w:line="240" w:lineRule="auto"/>
        <w:ind w:left="1070"/>
        <w:jc w:val="both"/>
        <w:rPr>
          <w:rFonts w:ascii="Arial" w:hAnsi="Arial" w:cs="Arial"/>
          <w:sz w:val="20"/>
          <w:szCs w:val="20"/>
        </w:rPr>
      </w:pPr>
      <w:r>
        <w:rPr>
          <w:rFonts w:ascii="Arial" w:hAnsi="Arial" w:cs="Arial"/>
          <w:sz w:val="20"/>
          <w:szCs w:val="20"/>
        </w:rPr>
        <w:t>Náklady na administrativní činnost Makléře nejsou součástí vyhotovování odborných posudků a hradí se z odměny Makléře. Administrativní činnost Makléře zahrnuje zejména:</w:t>
      </w:r>
    </w:p>
    <w:p w14:paraId="0E0D3891" w14:textId="77777777" w:rsidR="00971728" w:rsidRDefault="00000000">
      <w:pPr>
        <w:pStyle w:val="Odstavecseseznamem"/>
        <w:widowControl w:val="0"/>
        <w:numPr>
          <w:ilvl w:val="2"/>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zajišťování běžné komunikaci s pojišťovnami a likvidátory;</w:t>
      </w:r>
    </w:p>
    <w:p w14:paraId="0E0D3892" w14:textId="77777777" w:rsidR="00971728" w:rsidRDefault="00000000">
      <w:pPr>
        <w:pStyle w:val="Odstavecseseznamem"/>
        <w:widowControl w:val="0"/>
        <w:numPr>
          <w:ilvl w:val="2"/>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předávání smluvních dokumentů mezi klientem a pojistitelem;</w:t>
      </w:r>
    </w:p>
    <w:p w14:paraId="0E0D3893" w14:textId="77777777" w:rsidR="00971728" w:rsidRDefault="00000000">
      <w:pPr>
        <w:pStyle w:val="Odstavecseseznamem"/>
        <w:widowControl w:val="0"/>
        <w:numPr>
          <w:ilvl w:val="2"/>
          <w:numId w:val="1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kompletace dokumentace k pojistným smlouvám.</w:t>
      </w:r>
    </w:p>
    <w:p w14:paraId="0E0D3894"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Makléř se dále zavazuje:</w:t>
      </w:r>
    </w:p>
    <w:p w14:paraId="0E0D3895" w14:textId="77777777" w:rsidR="00971728" w:rsidRDefault="00000000">
      <w:pPr>
        <w:pStyle w:val="Odstavecseseznamem"/>
        <w:widowControl w:val="0"/>
        <w:numPr>
          <w:ilvl w:val="0"/>
          <w:numId w:val="13"/>
        </w:numPr>
        <w:autoSpaceDE w:val="0"/>
        <w:autoSpaceDN w:val="0"/>
        <w:adjustRightInd w:val="0"/>
        <w:spacing w:after="0" w:line="240" w:lineRule="auto"/>
        <w:ind w:left="1070"/>
        <w:jc w:val="both"/>
        <w:rPr>
          <w:rFonts w:ascii="Arial" w:hAnsi="Arial" w:cs="Arial"/>
          <w:color w:val="000000"/>
          <w:sz w:val="20"/>
          <w:szCs w:val="20"/>
        </w:rPr>
      </w:pPr>
      <w:r>
        <w:rPr>
          <w:rFonts w:ascii="Arial" w:hAnsi="Arial" w:cs="Arial"/>
          <w:color w:val="000000"/>
          <w:sz w:val="20"/>
          <w:szCs w:val="20"/>
        </w:rPr>
        <w:t>Bez zbytečného odkladu reagovat na telefonické dotazy či dotazy zaslané na e-mailovou adresu uvedenou v záhlaví této smlouvy.</w:t>
      </w:r>
    </w:p>
    <w:p w14:paraId="0E0D3896" w14:textId="77777777" w:rsidR="00971728" w:rsidRDefault="00000000">
      <w:pPr>
        <w:pStyle w:val="Odstavecseseznamem"/>
        <w:widowControl w:val="0"/>
        <w:numPr>
          <w:ilvl w:val="0"/>
          <w:numId w:val="13"/>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Reagovat na jakékoliv požadavky nejpozději do 48 hodin. V případech, kdy nebude Makléř v této lhůtě schopen požadavek splnit, sdělí v rámci stanovené lhůty 48 hodin dobu, do které bude požadavek splněn.</w:t>
      </w:r>
    </w:p>
    <w:p w14:paraId="0E0D3897" w14:textId="77777777" w:rsidR="00971728" w:rsidRDefault="00000000">
      <w:pPr>
        <w:pStyle w:val="Odstavecseseznamem"/>
        <w:widowControl w:val="0"/>
        <w:numPr>
          <w:ilvl w:val="0"/>
          <w:numId w:val="13"/>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Zabezpečit, aby alespoň jeden člen realizačního týmu Makléře byl Klientovi k dispozici v průběhu pracovní doby Makléře.</w:t>
      </w:r>
    </w:p>
    <w:p w14:paraId="0E0D3898" w14:textId="77777777" w:rsidR="00971728" w:rsidRDefault="00000000">
      <w:pPr>
        <w:pStyle w:val="Odstavecseseznamem"/>
        <w:widowControl w:val="0"/>
        <w:numPr>
          <w:ilvl w:val="0"/>
          <w:numId w:val="13"/>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 xml:space="preserve">Mít přehled o hlavních činnostech Klienta </w:t>
      </w:r>
      <w:r>
        <w:rPr>
          <w:rFonts w:ascii="Arial" w:hAnsi="Arial" w:cs="Arial"/>
          <w:sz w:val="20"/>
          <w:szCs w:val="20"/>
        </w:rPr>
        <w:t xml:space="preserve">a movitém i nemovitém majetku </w:t>
      </w:r>
      <w:r>
        <w:rPr>
          <w:rFonts w:ascii="Arial" w:hAnsi="Arial" w:cs="Arial"/>
          <w:color w:val="000000"/>
          <w:sz w:val="20"/>
          <w:szCs w:val="20"/>
        </w:rPr>
        <w:t>Klienta.</w:t>
      </w:r>
    </w:p>
    <w:p w14:paraId="0E0D3899"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V případě požadavku Klienta se Makléř zavazuje:</w:t>
      </w:r>
    </w:p>
    <w:p w14:paraId="0E0D389A" w14:textId="77777777" w:rsidR="00971728" w:rsidRDefault="00000000">
      <w:pPr>
        <w:pStyle w:val="Odstavecseseznamem"/>
        <w:widowControl w:val="0"/>
        <w:numPr>
          <w:ilvl w:val="0"/>
          <w:numId w:val="14"/>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 xml:space="preserve">Poskytovat asistenci při likvidaci konkrétních pojistných událostí ve vztahu k rozsahu </w:t>
      </w:r>
      <w:r>
        <w:rPr>
          <w:rFonts w:ascii="Arial" w:hAnsi="Arial" w:cs="Arial"/>
          <w:color w:val="000000"/>
          <w:sz w:val="20"/>
          <w:szCs w:val="20"/>
        </w:rPr>
        <w:lastRenderedPageBreak/>
        <w:t>pojistného krytí, povaze a rozsahu informací požadovaných k vyřízení pojistných událostí a kroků, nezbytných k omezení rozsahu škod.</w:t>
      </w:r>
    </w:p>
    <w:p w14:paraId="0E0D389B" w14:textId="77777777" w:rsidR="00971728" w:rsidRDefault="00000000">
      <w:pPr>
        <w:pStyle w:val="Odstavecseseznamem"/>
        <w:widowControl w:val="0"/>
        <w:numPr>
          <w:ilvl w:val="0"/>
          <w:numId w:val="14"/>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Být nápomocen při jednání s pojistiteli včetně účasti na takových jednáních.</w:t>
      </w:r>
    </w:p>
    <w:p w14:paraId="0E0D389C"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sz w:val="24"/>
          <w:szCs w:val="24"/>
        </w:rPr>
      </w:pPr>
      <w:r>
        <w:rPr>
          <w:rFonts w:ascii="Arial" w:hAnsi="Arial" w:cs="Arial"/>
          <w:color w:val="000000"/>
          <w:sz w:val="20"/>
          <w:szCs w:val="20"/>
        </w:rPr>
        <w:t>Následující služby nejsou zahrnuty v odměně Makléře uvedené v čl. 5. této Smlouvy:</w:t>
      </w:r>
    </w:p>
    <w:p w14:paraId="0E0D389D" w14:textId="77777777" w:rsidR="00971728" w:rsidRDefault="00000000">
      <w:pPr>
        <w:pStyle w:val="Odstavecseseznamem"/>
        <w:widowControl w:val="0"/>
        <w:numPr>
          <w:ilvl w:val="0"/>
          <w:numId w:val="1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Poskytování konzultačních služeb likvidátora pojistných událostí, které svým rozsahem, charakterem či výší vyžadují zvláštní účast specialistů, např. z oboru stavebnictví, telekomunikací, účetnictví, ekonomie či práva.</w:t>
      </w:r>
    </w:p>
    <w:p w14:paraId="0E0D389E" w14:textId="77777777" w:rsidR="00971728" w:rsidRDefault="00000000">
      <w:pPr>
        <w:pStyle w:val="Odstavecseseznamem"/>
        <w:widowControl w:val="0"/>
        <w:numPr>
          <w:ilvl w:val="0"/>
          <w:numId w:val="8"/>
        </w:numPr>
        <w:autoSpaceDE w:val="0"/>
        <w:autoSpaceDN w:val="0"/>
        <w:adjustRightInd w:val="0"/>
        <w:spacing w:before="120" w:after="0" w:line="240" w:lineRule="auto"/>
        <w:ind w:left="567" w:hanging="567"/>
        <w:jc w:val="both"/>
        <w:rPr>
          <w:rFonts w:ascii="Arial" w:hAnsi="Arial" w:cs="Arial"/>
          <w:color w:val="000000"/>
          <w:sz w:val="20"/>
          <w:szCs w:val="20"/>
        </w:rPr>
      </w:pPr>
      <w:r>
        <w:rPr>
          <w:rFonts w:ascii="Arial" w:hAnsi="Arial" w:cs="Arial"/>
          <w:color w:val="000000"/>
          <w:sz w:val="20"/>
          <w:szCs w:val="20"/>
        </w:rPr>
        <w:t>V případě, že bude pojištění zadáváno jako veřejná zakázka podle zákona č. 134/2016 Sb., o zadávání veřejných zakázek, ve znění pozdějších předpisů, zavazuje se Makléř připravit pro Klienta technickou a věcnou část zadávací dokumentace, a to v rozsahu nezbytném k řádnému vymezení předmětu plnění zakázky.</w:t>
      </w:r>
    </w:p>
    <w:p w14:paraId="0E0D389F" w14:textId="77777777" w:rsidR="00971728" w:rsidRDefault="00971728">
      <w:pPr>
        <w:widowControl w:val="0"/>
        <w:autoSpaceDE w:val="0"/>
        <w:autoSpaceDN w:val="0"/>
        <w:adjustRightInd w:val="0"/>
        <w:spacing w:before="46" w:after="0" w:line="303" w:lineRule="auto"/>
        <w:ind w:left="361" w:right="55" w:hanging="290"/>
        <w:jc w:val="both"/>
        <w:rPr>
          <w:rFonts w:ascii="Arial" w:hAnsi="Arial" w:cs="Arial"/>
          <w:sz w:val="24"/>
          <w:szCs w:val="24"/>
        </w:rPr>
      </w:pPr>
    </w:p>
    <w:p w14:paraId="0E0D38A0" w14:textId="77777777" w:rsidR="00971728" w:rsidRDefault="00000000">
      <w:pPr>
        <w:widowControl w:val="0"/>
        <w:autoSpaceDE w:val="0"/>
        <w:autoSpaceDN w:val="0"/>
        <w:adjustRightInd w:val="0"/>
        <w:spacing w:after="120" w:line="240" w:lineRule="auto"/>
        <w:jc w:val="center"/>
        <w:rPr>
          <w:rFonts w:ascii="Arial" w:hAnsi="Arial" w:cs="Arial"/>
          <w:b/>
          <w:sz w:val="24"/>
          <w:szCs w:val="24"/>
        </w:rPr>
      </w:pPr>
      <w:r>
        <w:rPr>
          <w:rFonts w:ascii="Arial" w:hAnsi="Arial" w:cs="Arial"/>
          <w:b/>
        </w:rPr>
        <w:t>3. Povinnosti Klienta</w:t>
      </w:r>
    </w:p>
    <w:p w14:paraId="0E0D38A1" w14:textId="77777777" w:rsidR="00971728" w:rsidRDefault="00000000">
      <w:pPr>
        <w:pStyle w:val="Odstavecseseznamem"/>
        <w:widowControl w:val="0"/>
        <w:numPr>
          <w:ilvl w:val="0"/>
          <w:numId w:val="16"/>
        </w:numPr>
        <w:autoSpaceDE w:val="0"/>
        <w:autoSpaceDN w:val="0"/>
        <w:adjustRightInd w:val="0"/>
        <w:spacing w:after="0" w:line="240" w:lineRule="auto"/>
        <w:ind w:left="567" w:hanging="567"/>
        <w:rPr>
          <w:rFonts w:ascii="Arial" w:hAnsi="Arial" w:cs="Arial"/>
          <w:sz w:val="24"/>
          <w:szCs w:val="24"/>
        </w:rPr>
      </w:pPr>
      <w:bookmarkStart w:id="2" w:name="_Ref212473822"/>
      <w:r>
        <w:rPr>
          <w:rFonts w:ascii="Arial" w:hAnsi="Arial" w:cs="Arial"/>
          <w:color w:val="000000"/>
          <w:sz w:val="20"/>
          <w:szCs w:val="20"/>
        </w:rPr>
        <w:t>Klient se zavazuje:</w:t>
      </w:r>
      <w:bookmarkEnd w:id="2"/>
    </w:p>
    <w:p w14:paraId="0E0D38A2" w14:textId="77777777" w:rsidR="00971728" w:rsidRDefault="00000000">
      <w:pPr>
        <w:pStyle w:val="Odstavecseseznamem"/>
        <w:widowControl w:val="0"/>
        <w:numPr>
          <w:ilvl w:val="0"/>
          <w:numId w:val="17"/>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poskytovat rozumnou míru součinnosti, požadovanou Makléřem, včetně určení hlavní kontaktní osoby ze strany Klienta;</w:t>
      </w:r>
    </w:p>
    <w:p w14:paraId="0E0D38A3" w14:textId="77777777" w:rsidR="00971728" w:rsidRDefault="00000000">
      <w:pPr>
        <w:pStyle w:val="Odstavecseseznamem"/>
        <w:widowControl w:val="0"/>
        <w:numPr>
          <w:ilvl w:val="0"/>
          <w:numId w:val="17"/>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neprodleně oznámit Makléři škodní události a poskytovat součinnost při jejich ohlášení.</w:t>
      </w:r>
    </w:p>
    <w:p w14:paraId="0E0D38A4" w14:textId="77777777" w:rsidR="00971728" w:rsidRDefault="00000000">
      <w:pPr>
        <w:pStyle w:val="Odstavecseseznamem"/>
        <w:widowControl w:val="0"/>
        <w:numPr>
          <w:ilvl w:val="0"/>
          <w:numId w:val="17"/>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umožnit Makléři přístup do prostor, které jsou nebo budou předmětem pojistného krytí, a také do prostor, ve kterých se nacházejí pojišťované věci;</w:t>
      </w:r>
    </w:p>
    <w:p w14:paraId="0E0D38A5" w14:textId="77777777" w:rsidR="00971728" w:rsidRDefault="00000000">
      <w:pPr>
        <w:pStyle w:val="Odstavecseseznamem"/>
        <w:widowControl w:val="0"/>
        <w:numPr>
          <w:ilvl w:val="0"/>
          <w:numId w:val="16"/>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V případě, že Klient nesouhlasí s Makléřem navrhovanými postupy je povinen mu toto písemně sdělit.</w:t>
      </w:r>
    </w:p>
    <w:p w14:paraId="0E0D38A6" w14:textId="77777777" w:rsidR="00971728" w:rsidRDefault="00000000">
      <w:pPr>
        <w:pStyle w:val="Odstavecseseznamem"/>
        <w:widowControl w:val="0"/>
        <w:numPr>
          <w:ilvl w:val="0"/>
          <w:numId w:val="16"/>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V souvislosti s konzultacemi se Klient zavazuje poskytnout Makléři potřebné podklady</w:t>
      </w:r>
      <w:r>
        <w:rPr>
          <w:rFonts w:ascii="Arial" w:hAnsi="Arial" w:cs="Arial"/>
          <w:sz w:val="24"/>
          <w:szCs w:val="24"/>
        </w:rPr>
        <w:t xml:space="preserve"> </w:t>
      </w:r>
      <w:r>
        <w:rPr>
          <w:rFonts w:ascii="Arial" w:hAnsi="Arial" w:cs="Arial"/>
          <w:color w:val="000000"/>
          <w:sz w:val="20"/>
          <w:szCs w:val="20"/>
        </w:rPr>
        <w:t>pro poskytnutí kvalifikovaných služeb.</w:t>
      </w:r>
    </w:p>
    <w:p w14:paraId="0E0D38A7" w14:textId="77777777" w:rsidR="00971728" w:rsidRDefault="00000000">
      <w:pPr>
        <w:pStyle w:val="Odstavecseseznamem"/>
        <w:widowControl w:val="0"/>
        <w:numPr>
          <w:ilvl w:val="0"/>
          <w:numId w:val="16"/>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V případě porušení povinností Klienta uvedených výše neodpovídá Makléř za případnou škodu</w:t>
      </w:r>
      <w:r>
        <w:rPr>
          <w:rFonts w:ascii="Arial" w:hAnsi="Arial" w:cs="Arial"/>
          <w:sz w:val="24"/>
          <w:szCs w:val="24"/>
        </w:rPr>
        <w:t xml:space="preserve"> </w:t>
      </w:r>
      <w:r>
        <w:rPr>
          <w:rFonts w:ascii="Arial" w:hAnsi="Arial" w:cs="Arial"/>
          <w:color w:val="000000"/>
          <w:sz w:val="20"/>
          <w:szCs w:val="20"/>
        </w:rPr>
        <w:t>vzniklou v důsledku porušení těchto povinností Klientem.</w:t>
      </w:r>
    </w:p>
    <w:p w14:paraId="0E0D38A8" w14:textId="77777777" w:rsidR="00971728" w:rsidRDefault="00000000">
      <w:pPr>
        <w:pStyle w:val="Odstavecseseznamem"/>
        <w:widowControl w:val="0"/>
        <w:numPr>
          <w:ilvl w:val="0"/>
          <w:numId w:val="16"/>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 xml:space="preserve">V případě porušení povinností Klienta uvedených v odstavci </w:t>
      </w:r>
      <w:r>
        <w:rPr>
          <w:rFonts w:ascii="Arial" w:hAnsi="Arial" w:cs="Arial"/>
          <w:color w:val="000000"/>
          <w:sz w:val="20"/>
          <w:szCs w:val="20"/>
        </w:rPr>
        <w:fldChar w:fldCharType="begin"/>
      </w:r>
      <w:r>
        <w:rPr>
          <w:rFonts w:ascii="Arial" w:hAnsi="Arial" w:cs="Arial"/>
          <w:color w:val="000000"/>
          <w:sz w:val="20"/>
          <w:szCs w:val="20"/>
        </w:rPr>
        <w:instrText xml:space="preserve"> REF _Ref212473822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3.1</w:t>
      </w:r>
      <w:r>
        <w:rPr>
          <w:rFonts w:ascii="Arial" w:hAnsi="Arial" w:cs="Arial"/>
          <w:color w:val="000000"/>
          <w:sz w:val="20"/>
          <w:szCs w:val="20"/>
        </w:rPr>
        <w:fldChar w:fldCharType="end"/>
      </w:r>
      <w:r>
        <w:rPr>
          <w:rFonts w:ascii="Arial" w:hAnsi="Arial" w:cs="Arial"/>
          <w:color w:val="000000"/>
          <w:sz w:val="20"/>
          <w:szCs w:val="20"/>
        </w:rPr>
        <w:t>. je Makléř povinen Klienta na toto porušení písemně upozornit a poskytnout mu dodatečnou lhůtu v délce 14 dnů k nápravě, a to ode dne doručení upozornění Klientovi. Nedojde-li ze strany Klienta k nápravě v této dodatečné lhůtě, považuje se toto porušení pro</w:t>
      </w:r>
      <w:r>
        <w:rPr>
          <w:rFonts w:ascii="Arial" w:hAnsi="Arial" w:cs="Arial"/>
          <w:sz w:val="24"/>
          <w:szCs w:val="24"/>
        </w:rPr>
        <w:t xml:space="preserve"> </w:t>
      </w:r>
      <w:r>
        <w:rPr>
          <w:rFonts w:ascii="Arial" w:hAnsi="Arial" w:cs="Arial"/>
          <w:color w:val="000000"/>
          <w:sz w:val="20"/>
          <w:szCs w:val="20"/>
        </w:rPr>
        <w:t>účely této smlouvy za podstatné porušení této smlouvy Klientem a Makléř má právo od smlouvy odstoupit. Tím není dotčeno právo na náhradu škody Makléři vzniklé.</w:t>
      </w:r>
    </w:p>
    <w:p w14:paraId="0E0D38A9" w14:textId="77777777" w:rsidR="00971728" w:rsidRDefault="00971728">
      <w:pPr>
        <w:widowControl w:val="0"/>
        <w:autoSpaceDE w:val="0"/>
        <w:autoSpaceDN w:val="0"/>
        <w:adjustRightInd w:val="0"/>
        <w:spacing w:before="34" w:after="0" w:line="302" w:lineRule="auto"/>
        <w:rPr>
          <w:rFonts w:ascii="Arial" w:hAnsi="Arial" w:cs="Arial"/>
          <w:color w:val="000000"/>
          <w:sz w:val="20"/>
          <w:szCs w:val="20"/>
        </w:rPr>
      </w:pPr>
    </w:p>
    <w:p w14:paraId="0E0D38AA" w14:textId="77777777" w:rsidR="00971728" w:rsidRDefault="00971728">
      <w:pPr>
        <w:widowControl w:val="0"/>
        <w:autoSpaceDE w:val="0"/>
        <w:autoSpaceDN w:val="0"/>
        <w:adjustRightInd w:val="0"/>
        <w:spacing w:before="34" w:after="0" w:line="302" w:lineRule="auto"/>
        <w:ind w:left="361"/>
        <w:rPr>
          <w:rFonts w:ascii="Arial" w:hAnsi="Arial" w:cs="Arial"/>
          <w:color w:val="000000"/>
          <w:sz w:val="20"/>
          <w:szCs w:val="20"/>
        </w:rPr>
      </w:pPr>
    </w:p>
    <w:p w14:paraId="0E0D38AB" w14:textId="77777777" w:rsidR="00971728" w:rsidRDefault="00000000">
      <w:pPr>
        <w:widowControl w:val="0"/>
        <w:autoSpaceDE w:val="0"/>
        <w:autoSpaceDN w:val="0"/>
        <w:adjustRightInd w:val="0"/>
        <w:spacing w:after="120" w:line="240" w:lineRule="auto"/>
        <w:ind w:left="2410"/>
        <w:rPr>
          <w:rFonts w:ascii="Arial" w:hAnsi="Arial" w:cs="Arial"/>
          <w:b/>
          <w:sz w:val="24"/>
          <w:szCs w:val="24"/>
        </w:rPr>
      </w:pPr>
      <w:r>
        <w:rPr>
          <w:rFonts w:ascii="Arial" w:hAnsi="Arial" w:cs="Arial"/>
          <w:b/>
        </w:rPr>
        <w:t>4. Zpracování osobních údajů, mlčenlivost</w:t>
      </w:r>
    </w:p>
    <w:p w14:paraId="0E0D38AC" w14:textId="77777777" w:rsidR="00971728" w:rsidRDefault="00000000">
      <w:pPr>
        <w:pStyle w:val="Odstavecseseznamem"/>
        <w:widowControl w:val="0"/>
        <w:numPr>
          <w:ilvl w:val="0"/>
          <w:numId w:val="18"/>
        </w:numPr>
        <w:autoSpaceDE w:val="0"/>
        <w:autoSpaceDN w:val="0"/>
        <w:adjustRightInd w:val="0"/>
        <w:spacing w:after="0" w:line="265" w:lineRule="auto"/>
        <w:ind w:left="567" w:right="56" w:hanging="567"/>
        <w:jc w:val="both"/>
        <w:rPr>
          <w:rFonts w:ascii="Arial" w:hAnsi="Arial" w:cs="Arial"/>
          <w:sz w:val="24"/>
          <w:szCs w:val="24"/>
        </w:rPr>
      </w:pPr>
      <w:r>
        <w:rPr>
          <w:rFonts w:ascii="Arial" w:hAnsi="Arial" w:cs="Arial"/>
          <w:color w:val="000000"/>
          <w:sz w:val="20"/>
          <w:szCs w:val="20"/>
        </w:rPr>
        <w:t>Makléř se zavazuje zachovávat mlčenlivost o všech skutečnostech týkajících se aktivit Klienta, o kterých se dozvěděl při výkonu činností dle této smlouvy, na jejichž utajení má nebo může mít Klient oprávněný zájem, a nesmí je zneužít ve svůj prospěch ani ve prospěch jiného, zejména skutečnosti mající důvěrný charakter. Tyto informace nesmí Makléř zneužít ve svůj prospěch ani ve prospěch třetí osoby. To se netýká informací předávaných pojišťovnám, zajišťovnám a zajistným makléřům při přípravě pojistných či zajistných smluv a během jejich správy. Závazek Makléře o mlčenlivosti trvá i po ukončení této smlouvy. Bez souhlasu Klienta je Makléř oprávněn poskytnout tyto informace, jen pokud to stanoví zákon.</w:t>
      </w:r>
    </w:p>
    <w:p w14:paraId="0E0D38AD"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V případě porušení ustanovení tohoto článku zavazuje se každá smluvní strana této smlouvy nahradit straně druhé škodu vzniklou v této souvislosti.</w:t>
      </w:r>
    </w:p>
    <w:p w14:paraId="0E0D38AE"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 xml:space="preserve">Makléř je ve vztahu k osobním údajům zaměstnanců Klienta a třetích osob ve vztahu k činnostem podle této smlouvy v postavení zpracovatele osobních údajů dle </w:t>
      </w:r>
      <w:r>
        <w:rPr>
          <w:rFonts w:ascii="Arial" w:hAnsi="Arial" w:cs="Arial"/>
          <w:sz w:val="20"/>
          <w:szCs w:val="20"/>
        </w:rPr>
        <w:t>Nařízení evropského parlamentu a rady (</w:t>
      </w:r>
      <w:r>
        <w:rPr>
          <w:rFonts w:ascii="Arial" w:hAnsi="Arial" w:cs="Arial"/>
          <w:color w:val="000000"/>
          <w:sz w:val="20"/>
          <w:szCs w:val="20"/>
        </w:rPr>
        <w:t>EU</w:t>
      </w:r>
      <w:r>
        <w:rPr>
          <w:rFonts w:ascii="Arial" w:hAnsi="Arial" w:cs="Arial"/>
          <w:sz w:val="20"/>
          <w:szCs w:val="20"/>
        </w:rPr>
        <w:t>) 2016/679 ze dne 27. dubna 2016,</w:t>
      </w:r>
      <w:r>
        <w:rPr>
          <w:rFonts w:ascii="Arial" w:hAnsi="Arial" w:cs="Arial"/>
        </w:rPr>
        <w:t xml:space="preserve"> </w:t>
      </w:r>
      <w:r>
        <w:rPr>
          <w:rFonts w:ascii="Arial" w:hAnsi="Arial" w:cs="Arial"/>
          <w:sz w:val="20"/>
          <w:szCs w:val="20"/>
        </w:rPr>
        <w:t>o ochraně fyzických osob v souvislosti se zpracováním osobních údajů a o volném pohybu těchto údajů a o zrušení směrnice 95/46/ES (obecné nařízení o ochraně osobních údajů) (dále jen „</w:t>
      </w:r>
      <w:r>
        <w:rPr>
          <w:rFonts w:ascii="Arial" w:hAnsi="Arial" w:cs="Arial"/>
          <w:b/>
          <w:sz w:val="20"/>
          <w:szCs w:val="20"/>
        </w:rPr>
        <w:t>Nařízení GDPR</w:t>
      </w:r>
      <w:r>
        <w:rPr>
          <w:rFonts w:ascii="Arial" w:hAnsi="Arial" w:cs="Arial"/>
          <w:sz w:val="20"/>
          <w:szCs w:val="20"/>
        </w:rPr>
        <w:t>“)</w:t>
      </w:r>
      <w:r>
        <w:rPr>
          <w:rFonts w:ascii="Arial" w:hAnsi="Arial" w:cs="Arial"/>
          <w:color w:val="000000"/>
          <w:sz w:val="20"/>
          <w:szCs w:val="20"/>
        </w:rPr>
        <w:t xml:space="preserve">. </w:t>
      </w:r>
    </w:p>
    <w:p w14:paraId="0E0D38AF"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zpracovává na základě této smlouvy osobní údaje osob a zaměstnanců pro Klienta. Účelem</w:t>
      </w:r>
      <w:r>
        <w:rPr>
          <w:rFonts w:ascii="Arial" w:hAnsi="Arial" w:cs="Arial"/>
          <w:sz w:val="24"/>
          <w:szCs w:val="24"/>
        </w:rPr>
        <w:t xml:space="preserve"> </w:t>
      </w:r>
      <w:r>
        <w:rPr>
          <w:rFonts w:ascii="Arial" w:hAnsi="Arial" w:cs="Arial"/>
          <w:color w:val="000000"/>
          <w:sz w:val="20"/>
          <w:szCs w:val="20"/>
        </w:rPr>
        <w:t>tohoto zpracování je řádné vyřízení škodné události, týkající se osob, jejichž údaje jsou zpracovávány (dále jen „oprávněné osoby“).</w:t>
      </w:r>
    </w:p>
    <w:p w14:paraId="0E0D38B0"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oprávněn zpracovávat osobní údaje (za výše uvedeným účelem) v tomto rozsahu:</w:t>
      </w:r>
    </w:p>
    <w:p w14:paraId="0E0D38B1" w14:textId="77777777" w:rsidR="00971728" w:rsidRDefault="00000000">
      <w:pPr>
        <w:pStyle w:val="Odstavecseseznamem"/>
        <w:widowControl w:val="0"/>
        <w:numPr>
          <w:ilvl w:val="2"/>
          <w:numId w:val="11"/>
        </w:numPr>
        <w:autoSpaceDE w:val="0"/>
        <w:autoSpaceDN w:val="0"/>
        <w:adjustRightInd w:val="0"/>
        <w:spacing w:before="34" w:after="0" w:line="240" w:lineRule="auto"/>
        <w:rPr>
          <w:rFonts w:ascii="Arial" w:hAnsi="Arial" w:cs="Arial"/>
          <w:sz w:val="24"/>
          <w:szCs w:val="24"/>
        </w:rPr>
      </w:pPr>
      <w:r>
        <w:rPr>
          <w:rFonts w:ascii="Arial" w:hAnsi="Arial" w:cs="Arial"/>
          <w:sz w:val="20"/>
          <w:szCs w:val="20"/>
        </w:rPr>
        <w:t xml:space="preserve">jméno a příjmení; </w:t>
      </w:r>
    </w:p>
    <w:p w14:paraId="0E0D38B2" w14:textId="77777777" w:rsidR="00971728" w:rsidRDefault="00000000">
      <w:pPr>
        <w:pStyle w:val="Odstavecseseznamem"/>
        <w:widowControl w:val="0"/>
        <w:numPr>
          <w:ilvl w:val="2"/>
          <w:numId w:val="11"/>
        </w:numPr>
        <w:autoSpaceDE w:val="0"/>
        <w:autoSpaceDN w:val="0"/>
        <w:adjustRightInd w:val="0"/>
        <w:spacing w:before="31" w:after="0" w:line="240" w:lineRule="auto"/>
        <w:rPr>
          <w:rFonts w:ascii="Arial" w:hAnsi="Arial" w:cs="Arial"/>
          <w:sz w:val="20"/>
          <w:szCs w:val="20"/>
        </w:rPr>
      </w:pPr>
      <w:r>
        <w:rPr>
          <w:rFonts w:ascii="Arial" w:hAnsi="Arial" w:cs="Arial"/>
          <w:sz w:val="20"/>
          <w:szCs w:val="20"/>
        </w:rPr>
        <w:t>adresa trvalého bydliště, č. bytu;</w:t>
      </w:r>
    </w:p>
    <w:p w14:paraId="0E0D38B3" w14:textId="77777777" w:rsidR="00971728" w:rsidRDefault="00000000">
      <w:pPr>
        <w:pStyle w:val="Odstavecseseznamem"/>
        <w:widowControl w:val="0"/>
        <w:numPr>
          <w:ilvl w:val="2"/>
          <w:numId w:val="11"/>
        </w:numPr>
        <w:autoSpaceDE w:val="0"/>
        <w:autoSpaceDN w:val="0"/>
        <w:adjustRightInd w:val="0"/>
        <w:spacing w:before="31" w:after="0" w:line="240" w:lineRule="auto"/>
        <w:rPr>
          <w:rFonts w:ascii="Arial" w:hAnsi="Arial" w:cs="Arial"/>
          <w:sz w:val="24"/>
          <w:szCs w:val="24"/>
        </w:rPr>
      </w:pPr>
      <w:r>
        <w:rPr>
          <w:rFonts w:ascii="Arial" w:hAnsi="Arial" w:cs="Arial"/>
          <w:sz w:val="20"/>
          <w:szCs w:val="20"/>
        </w:rPr>
        <w:t>tel. číslo, email;</w:t>
      </w:r>
    </w:p>
    <w:p w14:paraId="0E0D38B4" w14:textId="77777777" w:rsidR="00971728" w:rsidRDefault="00000000">
      <w:pPr>
        <w:pStyle w:val="Odstavecseseznamem"/>
        <w:widowControl w:val="0"/>
        <w:numPr>
          <w:ilvl w:val="2"/>
          <w:numId w:val="11"/>
        </w:numPr>
        <w:autoSpaceDE w:val="0"/>
        <w:autoSpaceDN w:val="0"/>
        <w:adjustRightInd w:val="0"/>
        <w:spacing w:before="34" w:after="0" w:line="240" w:lineRule="auto"/>
        <w:rPr>
          <w:rFonts w:ascii="Arial" w:hAnsi="Arial" w:cs="Arial"/>
          <w:sz w:val="24"/>
          <w:szCs w:val="24"/>
        </w:rPr>
      </w:pPr>
      <w:r>
        <w:rPr>
          <w:rFonts w:ascii="Arial" w:hAnsi="Arial" w:cs="Arial"/>
          <w:sz w:val="20"/>
          <w:szCs w:val="20"/>
        </w:rPr>
        <w:lastRenderedPageBreak/>
        <w:t xml:space="preserve">příp. datum narození. </w:t>
      </w:r>
    </w:p>
    <w:p w14:paraId="0E0D38B5"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sz w:val="20"/>
          <w:szCs w:val="20"/>
        </w:rPr>
        <w:t>Předmět a způsob zpracování a typ osobních údajů určuje tato smlouva. Na základě této smlouvy nejsou zpracovávány zvláštní kategorie osobních údajů ani osobní údaje, které se týkají rozsudků v trestních věcech a trestných činů.</w:t>
      </w:r>
    </w:p>
    <w:p w14:paraId="0E0D38B6"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color w:val="000000"/>
          <w:sz w:val="20"/>
          <w:szCs w:val="20"/>
        </w:rPr>
      </w:pPr>
      <w:r>
        <w:rPr>
          <w:rFonts w:ascii="Arial" w:hAnsi="Arial" w:cs="Arial"/>
          <w:sz w:val="20"/>
          <w:szCs w:val="20"/>
        </w:rPr>
        <w:t xml:space="preserve">Makléř se touto Smlouvou zavazuje, že bude veškeré zpracování osobních údajů provádět pro Klienta v souladu s Nařízením GDPR, touto </w:t>
      </w:r>
      <w:r>
        <w:rPr>
          <w:rFonts w:ascii="Arial" w:hAnsi="Arial" w:cs="Arial"/>
          <w:color w:val="000000"/>
          <w:sz w:val="20"/>
          <w:szCs w:val="20"/>
        </w:rPr>
        <w:t>Smlouvou a v souladu s ostatními právními předpisy na ochranu osobních údajů.</w:t>
      </w:r>
    </w:p>
    <w:p w14:paraId="0E0D38B7"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na základě zajišťuje pro Klienta činnosti, při kterých dochází ke zpracování osobních údajů oprávněných osob, spravovaných Klientem.</w:t>
      </w:r>
    </w:p>
    <w:p w14:paraId="0E0D38B8"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prohlašuje, že ke dni uzavření této smlouvy disponuje vhodnými technickými a organizačními opatřeními pro bezpečné zpracovávání osobních údajů, a že je schopen osobní údaje zpracovávat v souladu s požadavky Nařízení GDPR a dalšími právními předpisy na ochranu osobních údajů fyzických osob.</w:t>
      </w:r>
    </w:p>
    <w:p w14:paraId="0E0D38B9"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Osobní údaje budou Makléřem uchovávány pouze po dobu trvání účelu, pro nějž jsou zpracovávány, nejdéle však po dobu účinnosti této smlouvy. Po ukončení účinnosti smlouvy, nebo po pominutí účelu, pro který byly osobní údaje zpracovávány, makléř bez zbytečného odkladu osobní údaje v souladu s rozhodnutím Klienta buď vymaže, nebo je vrátí Klientovi a vymaže existující kopie.</w:t>
      </w:r>
    </w:p>
    <w:p w14:paraId="0E0D38BA"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při zpracování osobních údajů na základě této smlouvy povinen postupovat s náležitou odbornou péčí tak, aby neporušil žádné ustanovení Nařízení GDPR.</w:t>
      </w:r>
    </w:p>
    <w:p w14:paraId="0E0D38BB"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osobní údaje zpracovává pouze za účelem definovaným v této smlouvě a v žádném případě je nebude zpracovávat pro vlastní účely.</w:t>
      </w:r>
    </w:p>
    <w:p w14:paraId="0E0D38BC"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color w:val="000000"/>
          <w:sz w:val="20"/>
          <w:szCs w:val="20"/>
        </w:rPr>
      </w:pPr>
      <w:r>
        <w:rPr>
          <w:rFonts w:ascii="Arial" w:hAnsi="Arial" w:cs="Arial"/>
          <w:color w:val="000000"/>
          <w:sz w:val="20"/>
          <w:szCs w:val="20"/>
        </w:rPr>
        <w:t>Makléř je povinen řídit se při zpracování osobních údajů pouze doloženými pokyny Klienta. Makléř je povinen upozornit Klienta bez zbytečného odkladu na nevhodnou povahu pokynů, jestliže Makléř mohl tuto nevhodnost zjistit. Makléř je v takovém případě povinen pokyny provést pouze na základě písemného sdělení Klienta, že Klient trvá na provedení takových pokynů, jinak Makléř odpovídá Klientovi za případnou škodu způsobenou vznikem povinnosti Klienta hradit škodu nebo nemajetkovou újmu v penězích oprávněných osob či pokutu Úřadu pro ochranu osobních údajů (dále jen „</w:t>
      </w:r>
      <w:r>
        <w:rPr>
          <w:rFonts w:ascii="Arial" w:hAnsi="Arial" w:cs="Arial"/>
          <w:b/>
          <w:bCs/>
          <w:color w:val="000000"/>
          <w:sz w:val="20"/>
          <w:szCs w:val="20"/>
        </w:rPr>
        <w:t>ÚOOÚ</w:t>
      </w:r>
      <w:r>
        <w:rPr>
          <w:rFonts w:ascii="Arial" w:hAnsi="Arial" w:cs="Arial"/>
          <w:color w:val="000000"/>
          <w:sz w:val="20"/>
          <w:szCs w:val="20"/>
        </w:rPr>
        <w:t xml:space="preserve">“). </w:t>
      </w:r>
    </w:p>
    <w:p w14:paraId="0E0D38BD"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color w:val="000000"/>
          <w:sz w:val="20"/>
          <w:szCs w:val="20"/>
        </w:rPr>
      </w:pPr>
      <w:r>
        <w:rPr>
          <w:rFonts w:ascii="Arial" w:hAnsi="Arial" w:cs="Arial"/>
          <w:color w:val="000000"/>
          <w:sz w:val="20"/>
          <w:szCs w:val="20"/>
        </w:rPr>
        <w:t>V případě, že se osoba oprávněná bude domnívat, že Klient nebo Makléř provádí zpracování jeho osobních údajů, které je v rozporu s Nařízením GDPR, a požádá Makléře o vysvětlení nebo bude požadovat odstranění vzniklého stavu, zavazuje se makléř o tom neprodleně písemně informovat Klienta.</w:t>
      </w:r>
    </w:p>
    <w:p w14:paraId="0E0D38BE"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povinen Klientovi neprodleně oznámit provádění kontroly ze strany ÚOOÚ ve věci osobních údajů zpracovávaných pro Klienta a poskytnout mu na jeho žádost podrobné informace o průběhu kontroly a kopii kontrolního protokolu.</w:t>
      </w:r>
    </w:p>
    <w:p w14:paraId="0E0D38BF"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povinen Klientovi neprodleně oznámit každý případ porušení zabezpečení osobních údajů, který v souvislosti se zpracováním zjistí. V oznámení uvede veškeré informace dle čl. 33 odst. 3 Nařízení GDPR, které mu jsou známy.</w:t>
      </w:r>
    </w:p>
    <w:p w14:paraId="0E0D38C0"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prostřednictvím vhodných technických a organizačních opatření nápomocen Klientovi při plnění povinností Klienta reagovat na žádosti o výkon práv oprávněných osob, zejména na žádost na přístup k osobním údajům, na opravu či výmaz osobních údajů a na přenositelnost osobních údajů. Makléř je povinen bez zbytečného odkladu po obdržení výzvy Klienta, poskytnout Klientovi nezbytné údaje a součinnost tak, aby Klient mohl řádně a včas splnit svoji povinnost ve vztahu k oprávněné osobě, jejíž osobní údaje Makléř zpracovává.</w:t>
      </w:r>
    </w:p>
    <w:p w14:paraId="0E0D38C1"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povinen dokumentovat přijatá a provedená technickoorganizační opatření k zajištění ochrany osobních údajů; Klient je oprávněn si takovou dokumentaci od Makléře kdykoliv vyžádat k nahlédnutí. Makléř je povinen umožnit audity, včetně inspekcí, prováděné Klientem nebo jiným auditorem, kterého Klient pověří, a k těmto auditům přispěje.</w:t>
      </w:r>
    </w:p>
    <w:p w14:paraId="0E0D38C2"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Klientovi nápomocen při posuzování vlivu na ochranu osobních údajů dle čl. 35 Nařízení GDPR, ohlašování případů porušení zabezpečení osobních údajů ÚOOÚ či oprávněným osobám a při předchozích konzultacích s ÚOOÚ, to vše při zohlednění povahy zpracování a informací, jež má k dispozici.</w:t>
      </w:r>
    </w:p>
    <w:p w14:paraId="0E0D38C3"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zapojuje se souhlasem klienta do zpracování další zpracovatele, a to:</w:t>
      </w:r>
    </w:p>
    <w:p w14:paraId="0E0D38C4" w14:textId="77777777" w:rsidR="00971728" w:rsidRDefault="00000000">
      <w:pPr>
        <w:pStyle w:val="Odstavecseseznamem"/>
        <w:widowControl w:val="0"/>
        <w:numPr>
          <w:ilvl w:val="0"/>
          <w:numId w:val="19"/>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 xml:space="preserve">pojistitele vykonávající pojišťovací činnost či zajišťovací činnost v souladu s právními </w:t>
      </w:r>
      <w:r>
        <w:rPr>
          <w:rFonts w:ascii="Arial" w:hAnsi="Arial" w:cs="Arial"/>
          <w:color w:val="000000"/>
          <w:sz w:val="20"/>
          <w:szCs w:val="20"/>
        </w:rPr>
        <w:lastRenderedPageBreak/>
        <w:t>předpisy nebo</w:t>
      </w:r>
    </w:p>
    <w:p w14:paraId="0E0D38C5" w14:textId="77777777" w:rsidR="00971728" w:rsidRDefault="00000000">
      <w:pPr>
        <w:pStyle w:val="Odstavecseseznamem"/>
        <w:widowControl w:val="0"/>
        <w:numPr>
          <w:ilvl w:val="0"/>
          <w:numId w:val="19"/>
        </w:numPr>
        <w:autoSpaceDE w:val="0"/>
        <w:autoSpaceDN w:val="0"/>
        <w:adjustRightInd w:val="0"/>
        <w:spacing w:after="0" w:line="240" w:lineRule="auto"/>
        <w:ind w:left="1070"/>
        <w:jc w:val="both"/>
        <w:rPr>
          <w:rFonts w:ascii="Arial" w:hAnsi="Arial" w:cs="Arial"/>
          <w:sz w:val="24"/>
          <w:szCs w:val="24"/>
        </w:rPr>
      </w:pPr>
      <w:r>
        <w:rPr>
          <w:rFonts w:ascii="Arial" w:hAnsi="Arial" w:cs="Arial"/>
          <w:color w:val="000000"/>
          <w:sz w:val="20"/>
          <w:szCs w:val="20"/>
        </w:rPr>
        <w:t>samostatné likvidátory pojistných událostí pověřené pojistiteli dle bodu a) ke správě procesu likvidace pojistných událostí</w:t>
      </w:r>
    </w:p>
    <w:p w14:paraId="0E0D38C6" w14:textId="77777777" w:rsidR="00971728" w:rsidRDefault="00000000">
      <w:pPr>
        <w:pStyle w:val="Odstavecseseznamem"/>
        <w:widowControl w:val="0"/>
        <w:autoSpaceDE w:val="0"/>
        <w:autoSpaceDN w:val="0"/>
        <w:adjustRightInd w:val="0"/>
        <w:spacing w:before="279" w:after="0" w:line="265" w:lineRule="auto"/>
        <w:ind w:left="567" w:right="56"/>
        <w:jc w:val="both"/>
        <w:rPr>
          <w:rFonts w:ascii="Arial" w:hAnsi="Arial" w:cs="Arial"/>
          <w:sz w:val="20"/>
          <w:szCs w:val="24"/>
        </w:rPr>
      </w:pPr>
      <w:r>
        <w:rPr>
          <w:rFonts w:ascii="Arial" w:hAnsi="Arial" w:cs="Arial"/>
          <w:sz w:val="20"/>
          <w:szCs w:val="24"/>
        </w:rPr>
        <w:t xml:space="preserve">je povinen zabezpečit, aby s osobními údaji, které mu Makléř předá, bylo nakládáno v souladu s Nařízením GDPR. </w:t>
      </w:r>
    </w:p>
    <w:p w14:paraId="0E0D38C7"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prohlašuje, že má s každým dalším zpracovatelem uzavřenu samostatnou zpracovatelskou smlouvu.</w:t>
      </w:r>
    </w:p>
    <w:p w14:paraId="0E0D38C8"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color w:val="000000"/>
          <w:sz w:val="20"/>
          <w:szCs w:val="20"/>
        </w:rPr>
      </w:pPr>
      <w:r>
        <w:rPr>
          <w:rFonts w:ascii="Arial" w:hAnsi="Arial" w:cs="Arial"/>
          <w:color w:val="000000"/>
          <w:sz w:val="20"/>
          <w:szCs w:val="20"/>
        </w:rPr>
        <w:t>Makléř se zavazuje, že přijme s přihlédnutím ke stavu techniky, nákladům na provedení, povaze, rozsahu, kontextu a účelům zpracování i k různě pravděpodobným a různě závažným rizikům pro práva a svobody oprávněných osob vhodná technická a organizační opatření podle čl. 32 Nařízení GDPR, aby vyloučil možnost neoprávněného nebo nahodilého přístupu k osobním údajům, k jejich změně, zničení či ztrátě, jakož i k jinému zneužití osobních údajů.</w:t>
      </w:r>
    </w:p>
    <w:p w14:paraId="0E0D38C9"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odpovídá Klientovi za škodu způsobenou v důsledku porušení povinností uložených Makléři Nařízením GDPR, touto smlouvou, zejména je-li v důsledku porušení povinností Makléře Klient povinen hradit náhradu škody nebo nemajetkové újmy oprávněných osob či pokutu.</w:t>
      </w:r>
    </w:p>
    <w:p w14:paraId="0E0D38CA"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Pokud se kterákoliv sjednaná povinnost, závazek, nebo prohlášení Makléře, dle této smlouvy, ukáže jako nepravdivé, zakládá tato skutečnost, právo Klienta požadovat smluvní pokutu ve výši 50.000 Kč (slovy: padesát tisíc korun českých) za každé jednotlivé porušení povinnosti, závazku a za každé jednotlivé nepravdivé prohlášení Makléře. Tím není dotčeno právo Klienta na náhradu škody.</w:t>
      </w:r>
    </w:p>
    <w:p w14:paraId="0E0D38CB" w14:textId="77777777" w:rsidR="00971728" w:rsidRDefault="00000000">
      <w:pPr>
        <w:pStyle w:val="Odstavecseseznamem"/>
        <w:widowControl w:val="0"/>
        <w:numPr>
          <w:ilvl w:val="0"/>
          <w:numId w:val="18"/>
        </w:numPr>
        <w:autoSpaceDE w:val="0"/>
        <w:autoSpaceDN w:val="0"/>
        <w:adjustRightInd w:val="0"/>
        <w:spacing w:before="279" w:after="0" w:line="265" w:lineRule="auto"/>
        <w:ind w:left="567" w:right="56" w:hanging="567"/>
        <w:jc w:val="both"/>
        <w:rPr>
          <w:rFonts w:ascii="Arial" w:hAnsi="Arial" w:cs="Arial"/>
          <w:sz w:val="24"/>
          <w:szCs w:val="24"/>
        </w:rPr>
      </w:pPr>
      <w:r>
        <w:rPr>
          <w:rFonts w:ascii="Arial" w:hAnsi="Arial" w:cs="Arial"/>
          <w:color w:val="000000"/>
          <w:sz w:val="20"/>
          <w:szCs w:val="20"/>
        </w:rPr>
        <w:t>Makléř je i po zániku smlouvy povinen dodržovat veškeré povinnosti plynoucí mu z Nařízení, zejména předejít jakémukoliv neoprávněnému nakládání s osobními údaji.</w:t>
      </w:r>
    </w:p>
    <w:p w14:paraId="0E0D38CC" w14:textId="77777777" w:rsidR="00971728" w:rsidRDefault="00971728">
      <w:pPr>
        <w:widowControl w:val="0"/>
        <w:autoSpaceDE w:val="0"/>
        <w:autoSpaceDN w:val="0"/>
        <w:adjustRightInd w:val="0"/>
        <w:spacing w:before="2" w:after="0" w:line="304" w:lineRule="auto"/>
        <w:ind w:left="426" w:right="55" w:hanging="426"/>
        <w:jc w:val="both"/>
        <w:rPr>
          <w:rFonts w:ascii="Arial" w:hAnsi="Arial" w:cs="Arial"/>
          <w:sz w:val="24"/>
          <w:szCs w:val="24"/>
        </w:rPr>
      </w:pPr>
    </w:p>
    <w:p w14:paraId="0E0D38CD" w14:textId="77777777" w:rsidR="00971728" w:rsidRDefault="00000000">
      <w:pPr>
        <w:widowControl w:val="0"/>
        <w:autoSpaceDE w:val="0"/>
        <w:autoSpaceDN w:val="0"/>
        <w:adjustRightInd w:val="0"/>
        <w:spacing w:after="120" w:line="240" w:lineRule="auto"/>
        <w:ind w:left="3498"/>
        <w:rPr>
          <w:rFonts w:ascii="Arial" w:hAnsi="Arial" w:cs="Arial"/>
          <w:b/>
          <w:sz w:val="24"/>
          <w:szCs w:val="24"/>
        </w:rPr>
      </w:pPr>
      <w:r>
        <w:rPr>
          <w:rFonts w:ascii="Arial" w:hAnsi="Arial" w:cs="Arial"/>
          <w:b/>
        </w:rPr>
        <w:t>5. Odměna Makléře</w:t>
      </w:r>
    </w:p>
    <w:p w14:paraId="0E0D38CE" w14:textId="77777777" w:rsidR="00971728" w:rsidRDefault="00000000">
      <w:pPr>
        <w:pStyle w:val="Bezmezer"/>
        <w:numPr>
          <w:ilvl w:val="0"/>
          <w:numId w:val="20"/>
        </w:numPr>
        <w:ind w:left="567" w:hanging="567"/>
        <w:jc w:val="both"/>
        <w:rPr>
          <w:rFonts w:ascii="Arial" w:hAnsi="Arial" w:cs="Arial"/>
          <w:sz w:val="20"/>
        </w:rPr>
      </w:pPr>
      <w:r>
        <w:rPr>
          <w:rFonts w:ascii="Arial" w:hAnsi="Arial" w:cs="Arial"/>
          <w:sz w:val="20"/>
        </w:rPr>
        <w:t>Odměna Makléře je hrazena pojišťovnami jako součást jejich obchodních nákladů. Makléř je za svou činnost odměňován výhradně provizemi z pojistného, poskytnutými Makléři příslušnými pojišťovnami za zprostředkování uzavření pojistných smluv. Klient nebude Makléři hradit žádnou další odměnu ani náklady, s výjimkou předem písemně odsouhlasených nákladů dle čl. 5.2 této smlouvy.</w:t>
      </w:r>
    </w:p>
    <w:p w14:paraId="0E0D38CF" w14:textId="0CB1AEC2" w:rsidR="00971728" w:rsidRDefault="00000000">
      <w:pPr>
        <w:pStyle w:val="Bezmezer"/>
        <w:numPr>
          <w:ilvl w:val="0"/>
          <w:numId w:val="20"/>
        </w:numPr>
        <w:ind w:left="567" w:hanging="567"/>
        <w:jc w:val="both"/>
        <w:rPr>
          <w:rFonts w:ascii="Arial" w:hAnsi="Arial" w:cs="Arial"/>
          <w:sz w:val="20"/>
        </w:rPr>
      </w:pPr>
      <w:r>
        <w:rPr>
          <w:rFonts w:ascii="Arial" w:hAnsi="Arial" w:cs="Arial"/>
          <w:sz w:val="20"/>
          <w:szCs w:val="20"/>
        </w:rPr>
        <w:t xml:space="preserve">Náklady na znalecké, technické, nebo jiné odborné posudky vypracované třetími osobami, které jsou nezbytné k posouzení, stanovení rozsahu nebo likvidaci škodní události z pojistných smluv ve správě Makléře a které Makléř na základě pokynu Klienta obstará, </w:t>
      </w:r>
      <w:commentRangeStart w:id="3"/>
      <w:r>
        <w:rPr>
          <w:rFonts w:ascii="Arial" w:hAnsi="Arial" w:cs="Arial"/>
          <w:sz w:val="20"/>
          <w:szCs w:val="20"/>
          <w:highlight w:val="yellow"/>
        </w:rPr>
        <w:t>jsou zahrnuty do odměny Makléře až do výše maximálně 100 000 Kč bez DPH za 12 po sobě jdoucích kalendářních měsíců souhrnně ve vztahu ke všem pojistným smlouvám ve správě Klienta.</w:t>
      </w:r>
      <w:r>
        <w:rPr>
          <w:rFonts w:ascii="Arial" w:hAnsi="Arial" w:cs="Arial"/>
          <w:sz w:val="20"/>
          <w:szCs w:val="20"/>
          <w:highlight w:val="yellow"/>
        </w:rPr>
        <w:br/>
        <w:t xml:space="preserve">V případě, že předpokládané náklady na posudky v daném období přesáhnou tento limit, je Makléř povinen před jejich objednáním písemně informovat Klienta a získat jeho předchozí písemný souhlas k úhradě nákladů nad rámec stanoveného limitu. Náklady překračující </w:t>
      </w:r>
      <w:r w:rsidR="007C35FD">
        <w:rPr>
          <w:rFonts w:ascii="Arial" w:hAnsi="Arial" w:cs="Arial"/>
          <w:sz w:val="20"/>
          <w:szCs w:val="20"/>
          <w:highlight w:val="yellow"/>
        </w:rPr>
        <w:t>limit, které</w:t>
      </w:r>
      <w:r>
        <w:rPr>
          <w:rFonts w:ascii="Arial" w:hAnsi="Arial" w:cs="Arial"/>
          <w:sz w:val="20"/>
          <w:szCs w:val="20"/>
          <w:highlight w:val="yellow"/>
        </w:rPr>
        <w:t xml:space="preserve"> Klient písemně odsouhlasí</w:t>
      </w:r>
      <w:commentRangeEnd w:id="3"/>
      <w:r>
        <w:rPr>
          <w:rStyle w:val="Odkaznakoment"/>
        </w:rPr>
        <w:commentReference w:id="3"/>
      </w:r>
      <w:r>
        <w:rPr>
          <w:rFonts w:ascii="Arial" w:hAnsi="Arial" w:cs="Arial"/>
          <w:sz w:val="20"/>
          <w:szCs w:val="20"/>
        </w:rPr>
        <w:t>, hradí Klient samostatně. Všechny náklady musí být účelně vynaložené a doložené příslušnými doklady.</w:t>
      </w:r>
    </w:p>
    <w:p w14:paraId="0E0D38D0" w14:textId="77777777" w:rsidR="00971728" w:rsidRDefault="00971728">
      <w:pPr>
        <w:pStyle w:val="Bezmezer"/>
        <w:widowControl w:val="0"/>
        <w:autoSpaceDE w:val="0"/>
        <w:autoSpaceDN w:val="0"/>
        <w:adjustRightInd w:val="0"/>
        <w:spacing w:before="31"/>
        <w:jc w:val="both"/>
        <w:rPr>
          <w:rFonts w:ascii="Arial" w:hAnsi="Arial" w:cs="Arial"/>
          <w:sz w:val="20"/>
          <w:szCs w:val="20"/>
        </w:rPr>
      </w:pPr>
    </w:p>
    <w:p w14:paraId="0E0D38D1" w14:textId="77777777" w:rsidR="00971728" w:rsidRDefault="00971728">
      <w:pPr>
        <w:pStyle w:val="Bezmezer"/>
        <w:widowControl w:val="0"/>
        <w:autoSpaceDE w:val="0"/>
        <w:autoSpaceDN w:val="0"/>
        <w:adjustRightInd w:val="0"/>
        <w:spacing w:before="31"/>
        <w:jc w:val="both"/>
        <w:rPr>
          <w:rFonts w:ascii="Arial" w:hAnsi="Arial" w:cs="Arial"/>
          <w:sz w:val="24"/>
          <w:szCs w:val="24"/>
        </w:rPr>
      </w:pPr>
    </w:p>
    <w:p w14:paraId="0E0D38D2" w14:textId="77777777" w:rsidR="00971728" w:rsidRDefault="00000000">
      <w:pPr>
        <w:widowControl w:val="0"/>
        <w:autoSpaceDE w:val="0"/>
        <w:autoSpaceDN w:val="0"/>
        <w:adjustRightInd w:val="0"/>
        <w:spacing w:after="120" w:line="240" w:lineRule="auto"/>
        <w:ind w:left="3691"/>
        <w:rPr>
          <w:rFonts w:ascii="Arial" w:hAnsi="Arial" w:cs="Arial"/>
          <w:b/>
          <w:sz w:val="24"/>
          <w:szCs w:val="24"/>
        </w:rPr>
      </w:pPr>
      <w:r>
        <w:rPr>
          <w:rFonts w:ascii="Arial" w:hAnsi="Arial" w:cs="Arial"/>
          <w:b/>
        </w:rPr>
        <w:t>6. Odpovědnost</w:t>
      </w:r>
    </w:p>
    <w:p w14:paraId="0E0D38D3" w14:textId="77777777" w:rsidR="00971728" w:rsidRDefault="00000000">
      <w:pPr>
        <w:pStyle w:val="Odstavecseseznamem"/>
        <w:widowControl w:val="0"/>
        <w:numPr>
          <w:ilvl w:val="0"/>
          <w:numId w:val="21"/>
        </w:numPr>
        <w:autoSpaceDE w:val="0"/>
        <w:autoSpaceDN w:val="0"/>
        <w:adjustRightInd w:val="0"/>
        <w:spacing w:after="0" w:line="240" w:lineRule="auto"/>
        <w:ind w:left="567" w:hanging="567"/>
        <w:jc w:val="both"/>
        <w:rPr>
          <w:rFonts w:ascii="Arial" w:hAnsi="Arial" w:cs="Arial"/>
          <w:sz w:val="24"/>
          <w:szCs w:val="24"/>
        </w:rPr>
      </w:pPr>
      <w:r>
        <w:rPr>
          <w:rFonts w:ascii="Arial" w:hAnsi="Arial" w:cs="Arial"/>
          <w:color w:val="000000"/>
          <w:sz w:val="20"/>
          <w:szCs w:val="20"/>
        </w:rPr>
        <w:t>Každá smluvní strana odpovídá druhé smluvní straně za veškerou škodu, kterou jí způsobí porušením povinností dle této smlouvy a obecných zákonných předpisů.</w:t>
      </w:r>
    </w:p>
    <w:p w14:paraId="0E0D38D4" w14:textId="77777777" w:rsidR="00971728" w:rsidRDefault="00000000">
      <w:pPr>
        <w:pStyle w:val="Odstavecseseznamem"/>
        <w:widowControl w:val="0"/>
        <w:numPr>
          <w:ilvl w:val="0"/>
          <w:numId w:val="21"/>
        </w:numPr>
        <w:autoSpaceDE w:val="0"/>
        <w:autoSpaceDN w:val="0"/>
        <w:adjustRightInd w:val="0"/>
        <w:spacing w:before="279" w:after="0" w:line="240" w:lineRule="auto"/>
        <w:ind w:left="567" w:hanging="567"/>
        <w:jc w:val="both"/>
        <w:rPr>
          <w:rFonts w:ascii="Arial" w:hAnsi="Arial" w:cs="Arial"/>
          <w:sz w:val="24"/>
          <w:szCs w:val="24"/>
        </w:rPr>
      </w:pPr>
      <w:r>
        <w:rPr>
          <w:rFonts w:ascii="Arial" w:hAnsi="Arial" w:cs="Arial"/>
          <w:color w:val="000000"/>
          <w:sz w:val="20"/>
          <w:szCs w:val="20"/>
        </w:rPr>
        <w:t>Makléř se zavazuje po celou dobu trvání této smlouvy udržovat v platnosti své pojištění profesní odpovědnosti za škodu s minimálním limitem pojistné částky 100 000 000 Kč (slovy: jedno sto miliónů korun českých).</w:t>
      </w:r>
    </w:p>
    <w:p w14:paraId="0E0D38D5" w14:textId="77777777" w:rsidR="00971728" w:rsidRDefault="00971728">
      <w:pPr>
        <w:widowControl w:val="0"/>
        <w:autoSpaceDE w:val="0"/>
        <w:autoSpaceDN w:val="0"/>
        <w:adjustRightInd w:val="0"/>
        <w:spacing w:before="34" w:after="0" w:line="305" w:lineRule="auto"/>
        <w:ind w:left="360"/>
        <w:rPr>
          <w:rFonts w:ascii="Arial" w:hAnsi="Arial" w:cs="Arial"/>
          <w:color w:val="000000"/>
          <w:sz w:val="20"/>
          <w:szCs w:val="20"/>
        </w:rPr>
      </w:pPr>
    </w:p>
    <w:p w14:paraId="0E0D38D6" w14:textId="77777777" w:rsidR="00971728" w:rsidRDefault="00000000">
      <w:pPr>
        <w:pStyle w:val="Odstavecseseznamem"/>
        <w:widowControl w:val="0"/>
        <w:autoSpaceDE w:val="0"/>
        <w:autoSpaceDN w:val="0"/>
        <w:adjustRightInd w:val="0"/>
        <w:spacing w:after="120" w:line="240" w:lineRule="auto"/>
        <w:ind w:left="2903"/>
        <w:contextualSpacing w:val="0"/>
        <w:jc w:val="both"/>
        <w:rPr>
          <w:rFonts w:ascii="Arial" w:hAnsi="Arial" w:cs="Arial"/>
          <w:b/>
          <w:sz w:val="24"/>
          <w:szCs w:val="24"/>
        </w:rPr>
      </w:pPr>
      <w:r>
        <w:rPr>
          <w:rFonts w:ascii="Arial" w:hAnsi="Arial" w:cs="Arial"/>
          <w:b/>
        </w:rPr>
        <w:t xml:space="preserve">7. Zánik a ukončení smlouvy </w:t>
      </w:r>
    </w:p>
    <w:p w14:paraId="0E0D38D7" w14:textId="77777777" w:rsidR="00971728" w:rsidRDefault="00000000">
      <w:pPr>
        <w:pStyle w:val="Odstavecseseznamem"/>
        <w:widowControl w:val="0"/>
        <w:numPr>
          <w:ilvl w:val="0"/>
          <w:numId w:val="22"/>
        </w:numPr>
        <w:autoSpaceDE w:val="0"/>
        <w:autoSpaceDN w:val="0"/>
        <w:adjustRightInd w:val="0"/>
        <w:spacing w:before="5" w:after="0" w:line="240" w:lineRule="auto"/>
        <w:ind w:left="567" w:hanging="567"/>
        <w:jc w:val="both"/>
        <w:rPr>
          <w:rFonts w:ascii="Arial" w:hAnsi="Arial" w:cs="Arial"/>
          <w:sz w:val="24"/>
          <w:szCs w:val="24"/>
        </w:rPr>
      </w:pPr>
      <w:r>
        <w:rPr>
          <w:rFonts w:ascii="Arial" w:hAnsi="Arial" w:cs="Arial"/>
          <w:color w:val="000000"/>
          <w:sz w:val="20"/>
          <w:szCs w:val="20"/>
        </w:rPr>
        <w:t>Klient je oprávněn smlouvu vypovědět v celém rozsahu v případě hrubého porušení povinností ze strany Makléře, a to zejména:</w:t>
      </w:r>
    </w:p>
    <w:p w14:paraId="0E0D38D8" w14:textId="77777777" w:rsidR="00971728" w:rsidRDefault="00000000">
      <w:pPr>
        <w:widowControl w:val="0"/>
        <w:autoSpaceDE w:val="0"/>
        <w:autoSpaceDN w:val="0"/>
        <w:adjustRightInd w:val="0"/>
        <w:spacing w:after="0" w:line="240" w:lineRule="auto"/>
        <w:ind w:left="919"/>
        <w:rPr>
          <w:rFonts w:ascii="Arial" w:hAnsi="Arial" w:cs="Arial"/>
          <w:sz w:val="24"/>
          <w:szCs w:val="24"/>
        </w:rPr>
      </w:pPr>
      <w:r>
        <w:rPr>
          <w:rFonts w:ascii="Arial" w:hAnsi="Arial" w:cs="Arial"/>
          <w:color w:val="000000"/>
          <w:sz w:val="20"/>
          <w:szCs w:val="20"/>
        </w:rPr>
        <w:t>a) porušení povinností stanovených v čl. 2 smlouvy,</w:t>
      </w:r>
    </w:p>
    <w:p w14:paraId="0E0D38D9" w14:textId="77777777" w:rsidR="00971728" w:rsidRDefault="00000000">
      <w:pPr>
        <w:widowControl w:val="0"/>
        <w:autoSpaceDE w:val="0"/>
        <w:autoSpaceDN w:val="0"/>
        <w:adjustRightInd w:val="0"/>
        <w:spacing w:after="60" w:line="240" w:lineRule="auto"/>
        <w:ind w:left="919"/>
        <w:rPr>
          <w:rFonts w:ascii="Arial" w:hAnsi="Arial" w:cs="Arial"/>
          <w:sz w:val="24"/>
          <w:szCs w:val="24"/>
        </w:rPr>
      </w:pPr>
      <w:r>
        <w:rPr>
          <w:rFonts w:ascii="Arial" w:hAnsi="Arial" w:cs="Arial"/>
          <w:color w:val="000000"/>
          <w:sz w:val="20"/>
          <w:szCs w:val="20"/>
        </w:rPr>
        <w:t>b) porušení povinností stanovených v čl. 4 smlouvy,</w:t>
      </w:r>
    </w:p>
    <w:p w14:paraId="0E0D38DA" w14:textId="77777777" w:rsidR="00971728" w:rsidRDefault="00000000">
      <w:pPr>
        <w:pStyle w:val="Odstavecseseznamem"/>
        <w:widowControl w:val="0"/>
        <w:autoSpaceDE w:val="0"/>
        <w:autoSpaceDN w:val="0"/>
        <w:adjustRightInd w:val="0"/>
        <w:spacing w:before="5" w:after="0" w:line="240" w:lineRule="auto"/>
        <w:ind w:left="567"/>
        <w:jc w:val="both"/>
        <w:rPr>
          <w:rFonts w:ascii="Arial" w:hAnsi="Arial" w:cs="Arial"/>
          <w:sz w:val="20"/>
          <w:szCs w:val="20"/>
        </w:rPr>
      </w:pPr>
      <w:r>
        <w:rPr>
          <w:rFonts w:ascii="Arial" w:hAnsi="Arial" w:cs="Arial"/>
          <w:color w:val="000000"/>
          <w:sz w:val="20"/>
          <w:szCs w:val="20"/>
        </w:rPr>
        <w:t xml:space="preserve">a zároveň Klient je oprávněn vypovědět smlouvu v celém rozsahu v případě, že se některé </w:t>
      </w:r>
      <w:r>
        <w:rPr>
          <w:rFonts w:ascii="Arial" w:hAnsi="Arial" w:cs="Arial"/>
          <w:sz w:val="20"/>
          <w:szCs w:val="20"/>
        </w:rPr>
        <w:t xml:space="preserve">z prohlášení Makléře obsažené v této smlouvě </w:t>
      </w:r>
      <w:proofErr w:type="gramStart"/>
      <w:r>
        <w:rPr>
          <w:rFonts w:ascii="Arial" w:hAnsi="Arial" w:cs="Arial"/>
          <w:sz w:val="20"/>
          <w:szCs w:val="20"/>
        </w:rPr>
        <w:t>ukáží</w:t>
      </w:r>
      <w:proofErr w:type="gramEnd"/>
      <w:r>
        <w:rPr>
          <w:rFonts w:ascii="Arial" w:hAnsi="Arial" w:cs="Arial"/>
          <w:sz w:val="20"/>
          <w:szCs w:val="20"/>
        </w:rPr>
        <w:t xml:space="preserve"> jako nepravdivá.  Výpovědní doba počíná </w:t>
      </w:r>
      <w:r>
        <w:rPr>
          <w:rFonts w:ascii="Arial" w:hAnsi="Arial" w:cs="Arial"/>
          <w:sz w:val="20"/>
          <w:szCs w:val="20"/>
        </w:rPr>
        <w:lastRenderedPageBreak/>
        <w:t>běžet prvním dnem měsíce následujícím po doručení výpovědi a činí 1 měsíc.</w:t>
      </w:r>
    </w:p>
    <w:p w14:paraId="0E0D38DB" w14:textId="77777777" w:rsidR="00971728" w:rsidRDefault="00000000">
      <w:pPr>
        <w:pStyle w:val="Odstavecseseznamem"/>
        <w:widowControl w:val="0"/>
        <w:numPr>
          <w:ilvl w:val="0"/>
          <w:numId w:val="22"/>
        </w:numPr>
        <w:autoSpaceDE w:val="0"/>
        <w:autoSpaceDN w:val="0"/>
        <w:adjustRightInd w:val="0"/>
        <w:spacing w:before="5" w:after="0" w:line="240" w:lineRule="auto"/>
        <w:ind w:left="567" w:hanging="567"/>
        <w:jc w:val="both"/>
        <w:rPr>
          <w:rFonts w:ascii="Arial" w:hAnsi="Arial" w:cs="Arial"/>
          <w:sz w:val="24"/>
          <w:szCs w:val="24"/>
        </w:rPr>
      </w:pPr>
      <w:r>
        <w:rPr>
          <w:rFonts w:ascii="Arial" w:hAnsi="Arial" w:cs="Arial"/>
          <w:sz w:val="20"/>
          <w:szCs w:val="20"/>
        </w:rPr>
        <w:t>Obě smluvní strany jsou oprávněny vypovědět smlouvu bez udání důvodu. Výpovědní doba počíná běžet prvním dnem měsíce následujícím po doručení výpovědi a činí 3 měsíce.</w:t>
      </w:r>
    </w:p>
    <w:p w14:paraId="0E0D38DC" w14:textId="77777777" w:rsidR="00971728" w:rsidRDefault="00000000">
      <w:pPr>
        <w:pStyle w:val="Odstavecseseznamem"/>
        <w:widowControl w:val="0"/>
        <w:numPr>
          <w:ilvl w:val="0"/>
          <w:numId w:val="22"/>
        </w:numPr>
        <w:autoSpaceDE w:val="0"/>
        <w:autoSpaceDN w:val="0"/>
        <w:adjustRightInd w:val="0"/>
        <w:spacing w:before="5" w:after="0" w:line="240" w:lineRule="auto"/>
        <w:ind w:left="567" w:hanging="567"/>
        <w:jc w:val="both"/>
        <w:rPr>
          <w:rFonts w:ascii="Arial" w:hAnsi="Arial" w:cs="Arial"/>
          <w:sz w:val="24"/>
          <w:szCs w:val="24"/>
        </w:rPr>
      </w:pPr>
      <w:r>
        <w:rPr>
          <w:rFonts w:ascii="Arial" w:hAnsi="Arial" w:cs="Arial"/>
          <w:color w:val="000000"/>
          <w:sz w:val="20"/>
          <w:szCs w:val="20"/>
        </w:rPr>
        <w:t>Smluvní strany jsou oprávněny od této smlouvy odstoupit s okamžitou účinností ve chvíli, kdy je vůči druhé smluvní straně pravomocně prohlášen úpadek ve smyslu zákona č. 182/2006 Sb., o úpadku a způsobech jeho řešení (insolvenční zákon), ve znění pozdějších předpisů, nebo v případě, že na sebe kterákoliv ze smluvních stran podá insolvenční návrh.</w:t>
      </w:r>
    </w:p>
    <w:p w14:paraId="0E0D38DD" w14:textId="77777777" w:rsidR="00971728" w:rsidRDefault="00000000">
      <w:pPr>
        <w:pStyle w:val="Odstavecseseznamem"/>
        <w:widowControl w:val="0"/>
        <w:numPr>
          <w:ilvl w:val="0"/>
          <w:numId w:val="22"/>
        </w:numPr>
        <w:autoSpaceDE w:val="0"/>
        <w:autoSpaceDN w:val="0"/>
        <w:adjustRightInd w:val="0"/>
        <w:spacing w:before="5" w:after="0" w:line="240" w:lineRule="auto"/>
        <w:ind w:left="567" w:hanging="567"/>
        <w:rPr>
          <w:rFonts w:ascii="Arial" w:hAnsi="Arial" w:cs="Arial"/>
          <w:color w:val="000000"/>
          <w:sz w:val="20"/>
          <w:szCs w:val="20"/>
        </w:rPr>
      </w:pPr>
      <w:r>
        <w:rPr>
          <w:rFonts w:ascii="Arial" w:hAnsi="Arial" w:cs="Arial"/>
          <w:color w:val="000000"/>
          <w:sz w:val="20"/>
          <w:szCs w:val="20"/>
        </w:rPr>
        <w:t>Smlouvu lze ukončit písemnou dohodou obou smluvních stran.</w:t>
      </w:r>
    </w:p>
    <w:p w14:paraId="0E0D38DE" w14:textId="77777777" w:rsidR="00971728" w:rsidRDefault="00000000">
      <w:pPr>
        <w:pStyle w:val="Odstavecseseznamem"/>
        <w:widowControl w:val="0"/>
        <w:numPr>
          <w:ilvl w:val="0"/>
          <w:numId w:val="22"/>
        </w:numPr>
        <w:autoSpaceDE w:val="0"/>
        <w:autoSpaceDN w:val="0"/>
        <w:adjustRightInd w:val="0"/>
        <w:spacing w:before="5" w:after="0" w:line="240" w:lineRule="auto"/>
        <w:ind w:left="567" w:hanging="567"/>
        <w:jc w:val="both"/>
        <w:rPr>
          <w:rFonts w:ascii="Arial" w:hAnsi="Arial" w:cs="Arial"/>
          <w:color w:val="000000"/>
          <w:sz w:val="20"/>
          <w:szCs w:val="20"/>
        </w:rPr>
      </w:pPr>
      <w:r>
        <w:rPr>
          <w:rFonts w:ascii="Arial" w:hAnsi="Arial" w:cs="Arial"/>
          <w:color w:val="000000"/>
          <w:sz w:val="20"/>
          <w:szCs w:val="20"/>
        </w:rPr>
        <w:t>Klient je dále oprávněn od smlouvy odstoupit v případě, že Makléř opakovaně (tj.</w:t>
      </w:r>
      <w:r>
        <w:t xml:space="preserve"> </w:t>
      </w:r>
      <w:r>
        <w:rPr>
          <w:rFonts w:ascii="Arial" w:hAnsi="Arial" w:cs="Arial"/>
          <w:color w:val="000000"/>
          <w:sz w:val="20"/>
          <w:szCs w:val="20"/>
        </w:rPr>
        <w:t xml:space="preserve">více než jednou a po předchozím písemném upozornění) poruší povinnosti dle této smlouvy, nebo v případě, že Makléř </w:t>
      </w:r>
      <w:proofErr w:type="gramStart"/>
      <w:r>
        <w:rPr>
          <w:rFonts w:ascii="Arial" w:hAnsi="Arial" w:cs="Arial"/>
          <w:color w:val="000000"/>
          <w:sz w:val="20"/>
          <w:szCs w:val="20"/>
        </w:rPr>
        <w:t>pozbyde</w:t>
      </w:r>
      <w:proofErr w:type="gramEnd"/>
      <w:r>
        <w:rPr>
          <w:rFonts w:ascii="Arial" w:hAnsi="Arial" w:cs="Arial"/>
          <w:color w:val="000000"/>
          <w:sz w:val="20"/>
          <w:szCs w:val="20"/>
        </w:rPr>
        <w:t xml:space="preserve"> oprávnění k výkonu činnosti pojišťovacího makléře podle zákona č. 170/2018 Sb., o distribuci pojištění a zajištění, ve znění pozdějších předpisů.</w:t>
      </w:r>
    </w:p>
    <w:p w14:paraId="0E0D38DF" w14:textId="77777777" w:rsidR="00971728" w:rsidRDefault="00971728">
      <w:pPr>
        <w:widowControl w:val="0"/>
        <w:autoSpaceDE w:val="0"/>
        <w:autoSpaceDN w:val="0"/>
        <w:adjustRightInd w:val="0"/>
        <w:spacing w:before="5" w:after="0" w:line="240" w:lineRule="auto"/>
        <w:ind w:left="36"/>
        <w:rPr>
          <w:rFonts w:ascii="Arial" w:hAnsi="Arial" w:cs="Arial"/>
          <w:color w:val="000000"/>
          <w:sz w:val="20"/>
          <w:szCs w:val="20"/>
        </w:rPr>
      </w:pPr>
    </w:p>
    <w:p w14:paraId="0E0D38E0" w14:textId="77777777" w:rsidR="00971728" w:rsidRDefault="00971728">
      <w:pPr>
        <w:widowControl w:val="0"/>
        <w:autoSpaceDE w:val="0"/>
        <w:autoSpaceDN w:val="0"/>
        <w:adjustRightInd w:val="0"/>
        <w:spacing w:before="5" w:after="0" w:line="240" w:lineRule="auto"/>
        <w:ind w:left="36"/>
        <w:rPr>
          <w:rFonts w:ascii="Arial" w:hAnsi="Arial" w:cs="Arial"/>
          <w:color w:val="000000"/>
          <w:sz w:val="20"/>
          <w:szCs w:val="20"/>
        </w:rPr>
      </w:pPr>
    </w:p>
    <w:p w14:paraId="0E0D38E1" w14:textId="77777777" w:rsidR="00971728" w:rsidRDefault="00000000">
      <w:pPr>
        <w:widowControl w:val="0"/>
        <w:autoSpaceDE w:val="0"/>
        <w:autoSpaceDN w:val="0"/>
        <w:adjustRightInd w:val="0"/>
        <w:spacing w:after="0" w:line="240" w:lineRule="auto"/>
        <w:ind w:left="567" w:right="3305"/>
        <w:jc w:val="right"/>
        <w:rPr>
          <w:rFonts w:ascii="Arial" w:hAnsi="Arial" w:cs="Arial"/>
          <w:b/>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t>8. Závěrečná ustanovení</w:t>
      </w:r>
    </w:p>
    <w:p w14:paraId="0E0D38E2"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hAnsi="Arial" w:cs="Arial"/>
          <w:color w:val="000000"/>
          <w:sz w:val="20"/>
          <w:szCs w:val="20"/>
        </w:rPr>
        <w:t xml:space="preserve">Tato smlouva se uzavírá na dobu </w:t>
      </w:r>
      <w:r>
        <w:rPr>
          <w:rFonts w:ascii="Arial" w:hAnsi="Arial" w:cs="Arial"/>
          <w:sz w:val="20"/>
          <w:szCs w:val="20"/>
        </w:rPr>
        <w:t>neurčitou</w:t>
      </w:r>
      <w:r>
        <w:rPr>
          <w:rFonts w:ascii="Arial" w:hAnsi="Arial" w:cs="Arial"/>
          <w:color w:val="000000"/>
          <w:sz w:val="20"/>
          <w:szCs w:val="20"/>
        </w:rPr>
        <w:t xml:space="preserve"> a nabývá platnosti dnem podpisu oběma smluvními stranami a účinnosti dnem zveřejnění v Registru smluv. </w:t>
      </w:r>
    </w:p>
    <w:p w14:paraId="0E0D38E3"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hAnsi="Arial" w:cs="Arial"/>
          <w:color w:val="000000"/>
          <w:sz w:val="20"/>
          <w:szCs w:val="20"/>
        </w:rPr>
        <w:t>8.2. Tato smlouva je vyhotovena ve třech stejnopisech, z nichž dvě vyhotovení obdrží Klient a jedno vyhotovení obdrží Makléř.</w:t>
      </w:r>
    </w:p>
    <w:p w14:paraId="0E0D38E4"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0E0D38E5"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MČ BS podle jeho sídla v souladu s příslušnými právními předpisy.</w:t>
      </w:r>
    </w:p>
    <w:p w14:paraId="0E0D38E6"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hAnsi="Arial" w:cs="Arial"/>
          <w:sz w:val="20"/>
          <w:szCs w:val="20"/>
        </w:rPr>
        <w:t>Tato smlouva může být změněna či doplněna vždy pouze formou písemného dodatku k této smlouvě.</w:t>
      </w:r>
    </w:p>
    <w:p w14:paraId="0E0D38E7"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Arial" w:hAnsi="Arial" w:cs="Arial"/>
          <w:color w:val="000000"/>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0E0D38E8" w14:textId="77777777" w:rsidR="00971728" w:rsidRDefault="00000000">
      <w:pPr>
        <w:pStyle w:val="Normlnweb"/>
        <w:widowControl w:val="0"/>
        <w:numPr>
          <w:ilvl w:val="0"/>
          <w:numId w:val="23"/>
        </w:numPr>
        <w:tabs>
          <w:tab w:val="left" w:pos="1428"/>
        </w:tabs>
        <w:ind w:left="567" w:hanging="567"/>
        <w:rPr>
          <w:rFonts w:ascii="Arial" w:hAnsi="Arial" w:cs="Arial"/>
          <w:sz w:val="20"/>
          <w:szCs w:val="20"/>
        </w:rPr>
      </w:pPr>
      <w:r>
        <w:rPr>
          <w:rFonts w:ascii="Arial" w:hAnsi="Arial" w:cs="Arial"/>
          <w:color w:val="000000"/>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w:t>
      </w:r>
    </w:p>
    <w:p w14:paraId="0E0D38E9" w14:textId="77777777" w:rsidR="00971728" w:rsidRDefault="00000000">
      <w:pPr>
        <w:pStyle w:val="Normlnweb"/>
        <w:widowControl w:val="0"/>
        <w:numPr>
          <w:ilvl w:val="0"/>
          <w:numId w:val="23"/>
        </w:numPr>
        <w:tabs>
          <w:tab w:val="left" w:pos="1428"/>
        </w:tabs>
        <w:ind w:left="567" w:hanging="567"/>
        <w:rPr>
          <w:rFonts w:ascii="Arial" w:hAnsi="Arial" w:cs="Arial"/>
          <w:sz w:val="20"/>
          <w:szCs w:val="20"/>
        </w:rPr>
      </w:pPr>
      <w:r>
        <w:rPr>
          <w:rFonts w:ascii="Arial" w:hAnsi="Arial" w:cs="Arial"/>
          <w:color w:val="000000"/>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0D38EA" w14:textId="77777777" w:rsidR="00971728" w:rsidRDefault="00000000">
      <w:pPr>
        <w:pStyle w:val="Normlnweb"/>
        <w:widowControl w:val="0"/>
        <w:numPr>
          <w:ilvl w:val="0"/>
          <w:numId w:val="23"/>
        </w:numPr>
        <w:tabs>
          <w:tab w:val="left" w:pos="1428"/>
        </w:tabs>
        <w:ind w:left="567" w:hanging="567"/>
        <w:rPr>
          <w:rFonts w:ascii="Arial" w:hAnsi="Arial" w:cs="Arial"/>
          <w:color w:val="000000"/>
          <w:sz w:val="20"/>
          <w:szCs w:val="20"/>
        </w:rPr>
      </w:pPr>
      <w:r>
        <w:rPr>
          <w:rFonts w:asciiTheme="minorHAnsi" w:eastAsiaTheme="minorHAnsi" w:hAnsiTheme="minorHAnsi" w:cstheme="minorBidi"/>
          <w:sz w:val="22"/>
          <w:szCs w:val="22"/>
          <w:lang w:eastAsia="en-US"/>
        </w:rPr>
        <w:t xml:space="preserve"> </w:t>
      </w:r>
      <w:r>
        <w:rPr>
          <w:rFonts w:ascii="Arial" w:hAnsi="Arial" w:cs="Arial"/>
          <w:color w:val="000000"/>
          <w:sz w:val="20"/>
          <w:szCs w:val="20"/>
        </w:rPr>
        <w:t>Makléř prohlašuje, že při výkonu své činnosti bude dodržovat etické principy, principy společenské odpovědnosti, základní lidská práva, profesní standardy ČAP (Kodex pojišťovacího makléře ČAP) a všechny platné zákony a regulatorní předpisy. Porušení těchto povinností bude považováno za porušení smlouvy a může být důvodem k uplatnění nároků dle této smlouvy.</w:t>
      </w:r>
    </w:p>
    <w:p w14:paraId="0E0D38EB" w14:textId="77777777" w:rsidR="00971728" w:rsidRDefault="00000000">
      <w:pPr>
        <w:pStyle w:val="Normlnweb"/>
        <w:widowControl w:val="0"/>
        <w:numPr>
          <w:ilvl w:val="0"/>
          <w:numId w:val="23"/>
        </w:numPr>
        <w:tabs>
          <w:tab w:val="left" w:pos="1428"/>
        </w:tabs>
        <w:ind w:left="567" w:hanging="567"/>
        <w:rPr>
          <w:rFonts w:ascii="Arial" w:hAnsi="Arial" w:cs="Arial"/>
          <w:iCs/>
          <w:sz w:val="20"/>
          <w:szCs w:val="20"/>
        </w:rPr>
      </w:pPr>
      <w:r>
        <w:rPr>
          <w:rFonts w:ascii="Arial" w:hAnsi="Arial" w:cs="Arial"/>
          <w:iCs/>
          <w:sz w:val="20"/>
          <w:szCs w:val="20"/>
        </w:rPr>
        <w:t>Tato smlouva se uzavírá pouze s MČ BS, přičemž služby Makléře podle této smlouvy se vztahují rovněž na příspěvkové organizace zřízené MČ BS, které smlouvu nepodepisují.</w:t>
      </w:r>
    </w:p>
    <w:p w14:paraId="0E0D38EC" w14:textId="77777777" w:rsidR="00971728" w:rsidRDefault="00000000">
      <w:pPr>
        <w:pStyle w:val="Normlnweb"/>
        <w:widowControl w:val="0"/>
        <w:numPr>
          <w:ilvl w:val="0"/>
          <w:numId w:val="23"/>
        </w:numPr>
        <w:tabs>
          <w:tab w:val="left" w:pos="1428"/>
        </w:tabs>
        <w:ind w:left="567" w:hanging="567"/>
        <w:rPr>
          <w:rFonts w:ascii="Arial" w:hAnsi="Arial" w:cs="Arial"/>
          <w:iCs/>
          <w:sz w:val="20"/>
          <w:szCs w:val="20"/>
        </w:rPr>
      </w:pPr>
      <w:r>
        <w:rPr>
          <w:rFonts w:ascii="Arial" w:hAnsi="Arial" w:cs="Arial"/>
          <w:color w:val="000000"/>
          <w:sz w:val="20"/>
          <w:szCs w:val="20"/>
        </w:rPr>
        <w:t>Smluvní strany této smlouvy prohlašují, že tato smlouva byla sepsána podle jejich pravé, vážné a svobodné vůle, nebyla uzavřena v tísni za jednostranně nevýhodných podmínek a na důkaz toho připojují své podpisy.</w:t>
      </w:r>
    </w:p>
    <w:p w14:paraId="0E0D38ED" w14:textId="77777777" w:rsidR="00971728" w:rsidRDefault="00000000">
      <w:pPr>
        <w:pStyle w:val="Normlnweb"/>
        <w:widowControl w:val="0"/>
        <w:numPr>
          <w:ilvl w:val="0"/>
          <w:numId w:val="23"/>
        </w:numPr>
        <w:tabs>
          <w:tab w:val="left" w:pos="1428"/>
        </w:tabs>
        <w:ind w:left="567" w:hanging="567"/>
        <w:rPr>
          <w:rFonts w:ascii="Arial" w:hAnsi="Arial" w:cs="Arial"/>
          <w:iCs/>
          <w:sz w:val="20"/>
          <w:szCs w:val="20"/>
        </w:rPr>
      </w:pPr>
      <w:r>
        <w:rPr>
          <w:rFonts w:ascii="Arial" w:eastAsia="Arial" w:hAnsi="Arial"/>
          <w:sz w:val="20"/>
          <w:szCs w:val="20"/>
        </w:rPr>
        <w:t xml:space="preserve">Uzavření této Smlouvy bylo schváleno na </w:t>
      </w:r>
      <w:r>
        <w:rPr>
          <w:rFonts w:ascii="Arial" w:eastAsia="Arial" w:hAnsi="Arial"/>
          <w:bCs/>
          <w:sz w:val="20"/>
          <w:szCs w:val="20"/>
        </w:rPr>
        <w:t>…</w:t>
      </w:r>
      <w:r>
        <w:rPr>
          <w:rFonts w:ascii="Arial" w:eastAsia="Arial" w:hAnsi="Arial"/>
          <w:sz w:val="20"/>
          <w:szCs w:val="20"/>
        </w:rPr>
        <w:t xml:space="preserve">. schůzi Rady městské části Brno-střed konané dne </w:t>
      </w:r>
      <w:r>
        <w:rPr>
          <w:rFonts w:ascii="Arial" w:eastAsia="Arial" w:hAnsi="Arial"/>
          <w:bCs/>
          <w:sz w:val="20"/>
          <w:szCs w:val="20"/>
        </w:rPr>
        <w:t>…</w:t>
      </w:r>
      <w:r>
        <w:rPr>
          <w:rFonts w:ascii="Arial" w:eastAsia="Arial" w:hAnsi="Arial"/>
          <w:sz w:val="20"/>
          <w:szCs w:val="20"/>
        </w:rPr>
        <w:t xml:space="preserve">. </w:t>
      </w:r>
      <w:r>
        <w:rPr>
          <w:rFonts w:ascii="Arial" w:eastAsia="Arial" w:hAnsi="Arial"/>
          <w:bCs/>
          <w:sz w:val="20"/>
          <w:szCs w:val="20"/>
        </w:rPr>
        <w:t>…</w:t>
      </w:r>
      <w:r>
        <w:rPr>
          <w:rFonts w:ascii="Arial" w:eastAsia="Arial" w:hAnsi="Arial"/>
          <w:sz w:val="20"/>
          <w:szCs w:val="20"/>
        </w:rPr>
        <w:t>. 2025 usnesením č. RMČ/2025/</w:t>
      </w:r>
      <w:r>
        <w:rPr>
          <w:rFonts w:ascii="Arial" w:eastAsia="Arial" w:hAnsi="Arial"/>
          <w:bCs/>
          <w:sz w:val="20"/>
          <w:szCs w:val="20"/>
        </w:rPr>
        <w:t xml:space="preserve">… </w:t>
      </w:r>
      <w:r>
        <w:rPr>
          <w:rFonts w:ascii="Arial" w:eastAsia="Arial" w:hAnsi="Arial"/>
          <w:sz w:val="20"/>
          <w:szCs w:val="20"/>
        </w:rPr>
        <w:t>/</w:t>
      </w:r>
      <w:r>
        <w:rPr>
          <w:rFonts w:ascii="Arial" w:eastAsia="Arial" w:hAnsi="Arial"/>
          <w:bCs/>
          <w:sz w:val="20"/>
          <w:szCs w:val="20"/>
        </w:rPr>
        <w:t>…</w:t>
      </w:r>
      <w:r>
        <w:rPr>
          <w:rFonts w:ascii="Arial" w:eastAsia="Arial" w:hAnsi="Arial"/>
          <w:sz w:val="20"/>
          <w:szCs w:val="20"/>
        </w:rPr>
        <w:t>.</w:t>
      </w:r>
    </w:p>
    <w:p w14:paraId="0E0D38EE" w14:textId="77777777" w:rsidR="00971728" w:rsidRDefault="00000000">
      <w:pPr>
        <w:pStyle w:val="Normlnweb"/>
        <w:widowControl w:val="0"/>
        <w:numPr>
          <w:ilvl w:val="0"/>
          <w:numId w:val="23"/>
        </w:numPr>
        <w:tabs>
          <w:tab w:val="left" w:pos="1428"/>
        </w:tabs>
        <w:ind w:left="567" w:hanging="567"/>
        <w:rPr>
          <w:rFonts w:ascii="Arial" w:hAnsi="Arial" w:cs="Arial"/>
          <w:iCs/>
          <w:sz w:val="20"/>
          <w:szCs w:val="20"/>
        </w:rPr>
      </w:pPr>
      <w:r>
        <w:rPr>
          <w:rFonts w:ascii="Arial" w:eastAsia="Arial" w:hAnsi="Arial"/>
          <w:sz w:val="20"/>
          <w:szCs w:val="20"/>
        </w:rPr>
        <w:t>Nedílnou součástí Smlouvy jsou následující přílohy:</w:t>
      </w:r>
    </w:p>
    <w:p w14:paraId="0E0D38EF" w14:textId="77777777" w:rsidR="00971728" w:rsidRDefault="00000000">
      <w:pPr>
        <w:pStyle w:val="Normlnweb"/>
        <w:widowControl w:val="0"/>
        <w:numPr>
          <w:ilvl w:val="2"/>
          <w:numId w:val="11"/>
        </w:numPr>
        <w:tabs>
          <w:tab w:val="left" w:pos="1428"/>
        </w:tabs>
        <w:rPr>
          <w:rFonts w:ascii="Arial" w:hAnsi="Arial" w:cs="Arial"/>
          <w:iCs/>
          <w:sz w:val="20"/>
          <w:szCs w:val="20"/>
        </w:rPr>
      </w:pPr>
      <w:r>
        <w:rPr>
          <w:rFonts w:ascii="Arial" w:eastAsia="Arial" w:hAnsi="Arial"/>
          <w:sz w:val="20"/>
          <w:szCs w:val="20"/>
        </w:rPr>
        <w:t>Příloha č. 1 – Plná moc</w:t>
      </w:r>
    </w:p>
    <w:p w14:paraId="0E0D38F0" w14:textId="77777777" w:rsidR="00971728" w:rsidRDefault="00000000">
      <w:pPr>
        <w:pStyle w:val="Odstavecseseznamem"/>
        <w:numPr>
          <w:ilvl w:val="2"/>
          <w:numId w:val="11"/>
        </w:numPr>
        <w:rPr>
          <w:rFonts w:ascii="Arial" w:hAnsi="Arial" w:cs="Arial"/>
          <w:sz w:val="20"/>
          <w:szCs w:val="20"/>
        </w:rPr>
      </w:pPr>
      <w:r>
        <w:rPr>
          <w:rFonts w:ascii="Arial" w:hAnsi="Arial" w:cs="Arial"/>
          <w:sz w:val="20"/>
          <w:szCs w:val="20"/>
        </w:rPr>
        <w:t xml:space="preserve">Příloha č. 2 – </w:t>
      </w:r>
      <w:r>
        <w:rPr>
          <w:rFonts w:ascii="Arial" w:eastAsia="Times New Roman" w:hAnsi="Arial" w:cs="Arial"/>
          <w:sz w:val="20"/>
          <w:szCs w:val="20"/>
          <w:lang w:eastAsia="cs-CZ"/>
        </w:rPr>
        <w:t>Informace o pojišťovacím zprostředkovateli</w:t>
      </w:r>
    </w:p>
    <w:p w14:paraId="0E0D38F1" w14:textId="77777777" w:rsidR="00971728" w:rsidRDefault="00000000">
      <w:pPr>
        <w:pStyle w:val="Odstavecseseznamem"/>
        <w:numPr>
          <w:ilvl w:val="2"/>
          <w:numId w:val="11"/>
        </w:numPr>
        <w:rPr>
          <w:rFonts w:ascii="Arial" w:hAnsi="Arial" w:cs="Arial"/>
          <w:sz w:val="20"/>
          <w:szCs w:val="20"/>
        </w:rPr>
      </w:pPr>
      <w:r>
        <w:rPr>
          <w:rFonts w:ascii="Arial" w:hAnsi="Arial" w:cs="Arial"/>
          <w:sz w:val="20"/>
          <w:szCs w:val="20"/>
        </w:rPr>
        <w:t xml:space="preserve">Příloha č. 3 – </w:t>
      </w:r>
      <w:r>
        <w:rPr>
          <w:rFonts w:ascii="Arial" w:eastAsia="Times New Roman" w:hAnsi="Arial" w:cs="Arial"/>
          <w:sz w:val="20"/>
          <w:szCs w:val="20"/>
          <w:lang w:eastAsia="cs-CZ"/>
        </w:rPr>
        <w:t>Realizační tým</w:t>
      </w:r>
    </w:p>
    <w:p w14:paraId="0E0D38F2" w14:textId="77777777" w:rsidR="00971728" w:rsidRDefault="00000000">
      <w:pPr>
        <w:pStyle w:val="Odstavecseseznamem"/>
        <w:numPr>
          <w:ilvl w:val="2"/>
          <w:numId w:val="11"/>
        </w:numPr>
        <w:rPr>
          <w:rFonts w:ascii="Arial" w:hAnsi="Arial" w:cs="Arial"/>
          <w:sz w:val="20"/>
          <w:szCs w:val="20"/>
        </w:rPr>
      </w:pPr>
      <w:r>
        <w:rPr>
          <w:rFonts w:ascii="Arial" w:hAnsi="Arial" w:cs="Arial"/>
          <w:sz w:val="20"/>
          <w:szCs w:val="20"/>
        </w:rPr>
        <w:lastRenderedPageBreak/>
        <w:t>Příloha č. 4 – Seznam příspěvkových organizací</w:t>
      </w:r>
    </w:p>
    <w:p w14:paraId="0E0D38F3" w14:textId="77777777" w:rsidR="00971728" w:rsidRDefault="00000000">
      <w:pPr>
        <w:pStyle w:val="Odstavecseseznamem"/>
        <w:numPr>
          <w:ilvl w:val="2"/>
          <w:numId w:val="11"/>
        </w:numPr>
        <w:spacing w:after="0"/>
        <w:ind w:left="2058" w:hanging="357"/>
        <w:rPr>
          <w:rFonts w:ascii="Arial" w:hAnsi="Arial" w:cs="Arial"/>
          <w:sz w:val="20"/>
          <w:szCs w:val="20"/>
        </w:rPr>
      </w:pPr>
      <w:r>
        <w:rPr>
          <w:rFonts w:ascii="Arial" w:hAnsi="Arial" w:cs="Arial"/>
          <w:sz w:val="20"/>
          <w:szCs w:val="20"/>
        </w:rPr>
        <w:t>Příloha č. 5 – Systémy a nástroje makléře</w:t>
      </w:r>
    </w:p>
    <w:p w14:paraId="0E0D38F4" w14:textId="77777777" w:rsidR="00971728" w:rsidRDefault="00000000">
      <w:pPr>
        <w:pStyle w:val="Normlnweb"/>
        <w:tabs>
          <w:tab w:val="left" w:pos="426"/>
        </w:tabs>
        <w:spacing w:before="0"/>
        <w:ind w:left="1418" w:hanging="709"/>
        <w:rPr>
          <w:rFonts w:ascii="Arial" w:hAnsi="Arial" w:cs="Arial"/>
          <w:sz w:val="20"/>
          <w:szCs w:val="20"/>
        </w:rPr>
      </w:pPr>
      <w:r>
        <w:rPr>
          <w:rFonts w:ascii="Arial" w:hAnsi="Arial" w:cs="Arial"/>
          <w:sz w:val="20"/>
          <w:szCs w:val="20"/>
        </w:rPr>
        <w:t> </w:t>
      </w:r>
    </w:p>
    <w:p w14:paraId="0E0D38F5" w14:textId="77777777" w:rsidR="00971728" w:rsidRDefault="00000000">
      <w:pPr>
        <w:pStyle w:val="Normlnweb"/>
        <w:widowControl w:val="0"/>
        <w:spacing w:before="0" w:line="240" w:lineRule="atLeast"/>
        <w:rPr>
          <w:rFonts w:ascii="Arial" w:hAnsi="Arial" w:cs="Arial"/>
          <w:sz w:val="20"/>
          <w:szCs w:val="20"/>
        </w:rPr>
      </w:pPr>
      <w:r>
        <w:rPr>
          <w:rFonts w:ascii="Arial" w:hAnsi="Arial" w:cs="Arial"/>
          <w:sz w:val="20"/>
          <w:szCs w:val="20"/>
        </w:rPr>
        <w:t> </w:t>
      </w:r>
    </w:p>
    <w:p w14:paraId="0E0D38F6" w14:textId="77777777" w:rsidR="00971728" w:rsidRDefault="00000000">
      <w:pPr>
        <w:pStyle w:val="Normlnweb"/>
        <w:widowControl w:val="0"/>
        <w:spacing w:before="0" w:line="240" w:lineRule="atLeast"/>
        <w:rPr>
          <w:rFonts w:ascii="Arial" w:hAnsi="Arial" w:cs="Arial"/>
          <w:sz w:val="20"/>
          <w:szCs w:val="20"/>
        </w:rPr>
      </w:pPr>
      <w:r>
        <w:rPr>
          <w:rFonts w:ascii="Arial" w:hAnsi="Arial" w:cs="Arial"/>
          <w:color w:val="000000"/>
          <w:sz w:val="20"/>
          <w:szCs w:val="20"/>
        </w:rPr>
        <w:t xml:space="preserve">      V Brně dne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 Brně dne</w:t>
      </w:r>
    </w:p>
    <w:p w14:paraId="0E0D38F7" w14:textId="77777777" w:rsidR="00971728" w:rsidRDefault="00000000">
      <w:pPr>
        <w:pStyle w:val="Normlnweb"/>
        <w:widowControl w:val="0"/>
        <w:spacing w:before="0" w:line="240" w:lineRule="atLeast"/>
        <w:rPr>
          <w:rFonts w:ascii="Arial" w:hAnsi="Arial" w:cs="Arial"/>
          <w:sz w:val="20"/>
          <w:szCs w:val="20"/>
        </w:rPr>
      </w:pPr>
      <w:r>
        <w:rPr>
          <w:rFonts w:ascii="Arial" w:hAnsi="Arial" w:cs="Arial"/>
          <w:sz w:val="20"/>
          <w:szCs w:val="20"/>
        </w:rPr>
        <w:t> </w:t>
      </w:r>
    </w:p>
    <w:p w14:paraId="0E0D38F8" w14:textId="77777777" w:rsidR="00971728" w:rsidRDefault="00000000">
      <w:pPr>
        <w:pStyle w:val="Normlnweb"/>
        <w:widowControl w:val="0"/>
        <w:spacing w:before="0" w:line="240" w:lineRule="atLeast"/>
        <w:rPr>
          <w:rFonts w:ascii="Arial" w:hAnsi="Arial" w:cs="Arial"/>
          <w:color w:val="000000"/>
          <w:sz w:val="20"/>
          <w:szCs w:val="20"/>
        </w:rPr>
      </w:pPr>
      <w:r>
        <w:rPr>
          <w:rFonts w:ascii="Arial" w:hAnsi="Arial" w:cs="Arial"/>
          <w:color w:val="000000"/>
          <w:sz w:val="20"/>
          <w:szCs w:val="20"/>
        </w:rPr>
        <w:t>      Za Klienta</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t>Za Makléře</w:t>
      </w:r>
    </w:p>
    <w:p w14:paraId="0E0D38F9" w14:textId="77777777" w:rsidR="00971728" w:rsidRDefault="00971728">
      <w:pPr>
        <w:pStyle w:val="Normlnweb"/>
        <w:widowControl w:val="0"/>
        <w:spacing w:before="0" w:line="240" w:lineRule="atLeast"/>
        <w:rPr>
          <w:rFonts w:ascii="Arial" w:hAnsi="Arial" w:cs="Arial"/>
          <w:color w:val="000000"/>
          <w:sz w:val="20"/>
          <w:szCs w:val="20"/>
        </w:rPr>
      </w:pPr>
    </w:p>
    <w:p w14:paraId="0E0D38FA" w14:textId="77777777" w:rsidR="00971728" w:rsidRDefault="00971728">
      <w:pPr>
        <w:widowControl w:val="0"/>
        <w:autoSpaceDE w:val="0"/>
        <w:autoSpaceDN w:val="0"/>
        <w:adjustRightInd w:val="0"/>
        <w:spacing w:before="34" w:after="0" w:line="305" w:lineRule="auto"/>
        <w:ind w:left="360"/>
        <w:rPr>
          <w:rFonts w:ascii="Arial" w:hAnsi="Arial" w:cs="Arial"/>
          <w:sz w:val="24"/>
          <w:szCs w:val="24"/>
        </w:rPr>
      </w:pPr>
    </w:p>
    <w:p w14:paraId="0E0D38FB" w14:textId="77777777" w:rsidR="00971728" w:rsidRDefault="00971728">
      <w:pPr>
        <w:widowControl w:val="0"/>
        <w:autoSpaceDE w:val="0"/>
        <w:autoSpaceDN w:val="0"/>
        <w:adjustRightInd w:val="0"/>
        <w:spacing w:before="4" w:after="0" w:line="304" w:lineRule="auto"/>
        <w:ind w:left="426" w:hanging="426"/>
        <w:rPr>
          <w:rFonts w:ascii="Arial" w:hAnsi="Arial" w:cs="Arial"/>
          <w:sz w:val="24"/>
          <w:szCs w:val="24"/>
        </w:rPr>
      </w:pPr>
    </w:p>
    <w:p w14:paraId="0E0D38FC" w14:textId="77777777" w:rsidR="00971728" w:rsidRDefault="00971728">
      <w:pPr>
        <w:widowControl w:val="0"/>
        <w:autoSpaceDE w:val="0"/>
        <w:autoSpaceDN w:val="0"/>
        <w:adjustRightInd w:val="0"/>
        <w:spacing w:before="34" w:after="0" w:line="302" w:lineRule="auto"/>
        <w:ind w:left="361"/>
        <w:rPr>
          <w:rFonts w:ascii="Arial" w:hAnsi="Arial" w:cs="Arial"/>
          <w:sz w:val="24"/>
          <w:szCs w:val="24"/>
        </w:rPr>
      </w:pPr>
    </w:p>
    <w:p w14:paraId="0E0D38FD" w14:textId="77777777" w:rsidR="00971728" w:rsidRDefault="00971728">
      <w:pPr>
        <w:ind w:left="1712"/>
      </w:pPr>
    </w:p>
    <w:p w14:paraId="0E0D38FE" w14:textId="77777777" w:rsidR="00971728" w:rsidRDefault="00971728"/>
    <w:sectPr w:rsidR="009717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éla Palovská" w:date="2025-12-19T11:35:00Z" w:initials="AP">
    <w:p w14:paraId="0429F5FF" w14:textId="77777777" w:rsidR="00C3082B" w:rsidRDefault="00C3082B" w:rsidP="00C3082B">
      <w:pPr>
        <w:pStyle w:val="Textkomente"/>
      </w:pPr>
      <w:r>
        <w:rPr>
          <w:rStyle w:val="Odkaznakoment"/>
        </w:rPr>
        <w:annotationRef/>
      </w:r>
      <w:r>
        <w:t>Poznámka pro Dodavatele: vizte bod 5.2. Obchodních podmínek</w:t>
      </w:r>
    </w:p>
  </w:comment>
  <w:comment w:id="3" w:author="Adéla Palovská" w:date="2025-11-28T10:45:00Z" w:initials="AP">
    <w:p w14:paraId="0E0D3900" w14:textId="330316A5" w:rsidR="001273A0" w:rsidRDefault="00000000" w:rsidP="001273A0">
      <w:pPr>
        <w:pStyle w:val="Textkomente"/>
      </w:pPr>
      <w:r>
        <w:rPr>
          <w:rStyle w:val="Odkaznakoment"/>
        </w:rPr>
        <w:annotationRef/>
      </w:r>
      <w:r w:rsidR="001273A0">
        <w:t xml:space="preserve">Poznámka pro Dodavatele: Tato část věty může být v nabídce buď zachována, nebo vynechána - podle toho, zda Makléř uvede ve své nabídce v bodě 12 Dokumentu Systémy a nástroje Makléře (příloha č. 2 Zadávací dokumentace), že náklady na posudky bude do určitého limitu zahrnovat do své odměny.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9F5FF" w15:done="0"/>
  <w15:commentEx w15:paraId="0E0D39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CDBF3" w16cex:dateUtc="2025-12-19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9F5FF" w16cid:durableId="1A8CDBF3"/>
  <w16cid:commentId w16cid:paraId="0E0D3900" w16cid:durableId="0E0D39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C98"/>
    <w:multiLevelType w:val="hybridMultilevel"/>
    <w:tmpl w:val="3CD4021C"/>
    <w:lvl w:ilvl="0" w:tplc="C35E863C">
      <w:start w:val="1"/>
      <w:numFmt w:val="decimal"/>
      <w:lvlText w:val="1.%1."/>
      <w:lvlJc w:val="left"/>
      <w:pPr>
        <w:ind w:left="720" w:hanging="360"/>
      </w:pPr>
      <w:rPr>
        <w:rFonts w:hint="default"/>
        <w:sz w:val="20"/>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04EAB"/>
    <w:multiLevelType w:val="hybridMultilevel"/>
    <w:tmpl w:val="156A0048"/>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AC84315"/>
    <w:multiLevelType w:val="hybridMultilevel"/>
    <w:tmpl w:val="ED96533C"/>
    <w:lvl w:ilvl="0" w:tplc="25E29C4E">
      <w:start w:val="1"/>
      <w:numFmt w:val="lowerLetter"/>
      <w:lvlText w:val="%1)"/>
      <w:lvlJc w:val="left"/>
      <w:pPr>
        <w:ind w:left="1712" w:hanging="36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3" w15:restartNumberingAfterBreak="0">
    <w:nsid w:val="0E7542A0"/>
    <w:multiLevelType w:val="multilevel"/>
    <w:tmpl w:val="7A08E46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914DC"/>
    <w:multiLevelType w:val="hybridMultilevel"/>
    <w:tmpl w:val="AEBC0666"/>
    <w:lvl w:ilvl="0" w:tplc="F9A03556">
      <w:start w:val="1"/>
      <w:numFmt w:val="lowerLetter"/>
      <w:lvlText w:val="%1)"/>
      <w:lvlJc w:val="left"/>
      <w:pPr>
        <w:ind w:left="825" w:hanging="360"/>
      </w:pPr>
      <w:rPr>
        <w:color w:val="auto"/>
        <w:sz w:val="20"/>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5" w15:restartNumberingAfterBreak="0">
    <w:nsid w:val="17A8319C"/>
    <w:multiLevelType w:val="hybridMultilevel"/>
    <w:tmpl w:val="156A0048"/>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1A624680"/>
    <w:multiLevelType w:val="hybridMultilevel"/>
    <w:tmpl w:val="DEEEEF34"/>
    <w:lvl w:ilvl="0" w:tplc="8A3A330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122100"/>
    <w:multiLevelType w:val="hybridMultilevel"/>
    <w:tmpl w:val="83DAADCE"/>
    <w:lvl w:ilvl="0" w:tplc="ECEA8704">
      <w:start w:val="1"/>
      <w:numFmt w:val="decimal"/>
      <w:lvlText w:val="8.%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580DE6"/>
    <w:multiLevelType w:val="hybridMultilevel"/>
    <w:tmpl w:val="AEBC0666"/>
    <w:lvl w:ilvl="0" w:tplc="F9A03556">
      <w:start w:val="1"/>
      <w:numFmt w:val="lowerLetter"/>
      <w:lvlText w:val="%1)"/>
      <w:lvlJc w:val="left"/>
      <w:pPr>
        <w:ind w:left="825" w:hanging="360"/>
      </w:pPr>
      <w:rPr>
        <w:color w:val="auto"/>
        <w:sz w:val="20"/>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9" w15:restartNumberingAfterBreak="0">
    <w:nsid w:val="255A2BC6"/>
    <w:multiLevelType w:val="hybridMultilevel"/>
    <w:tmpl w:val="73621912"/>
    <w:lvl w:ilvl="0" w:tplc="35AC696A">
      <w:start w:val="1"/>
      <w:numFmt w:val="decimal"/>
      <w:lvlText w:val="7.%1."/>
      <w:lvlJc w:val="left"/>
      <w:pPr>
        <w:ind w:left="360" w:hanging="360"/>
      </w:pPr>
      <w:rPr>
        <w:rFonts w:hint="default"/>
        <w:b w:val="0"/>
        <w:color w:val="auto"/>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DA2CD1"/>
    <w:multiLevelType w:val="hybridMultilevel"/>
    <w:tmpl w:val="AC56024E"/>
    <w:lvl w:ilvl="0" w:tplc="407C2AA8">
      <w:start w:val="1"/>
      <w:numFmt w:val="decimal"/>
      <w:lvlText w:val="2.%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F4E3B"/>
    <w:multiLevelType w:val="hybridMultilevel"/>
    <w:tmpl w:val="C49E57E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32E12B14"/>
    <w:multiLevelType w:val="hybridMultilevel"/>
    <w:tmpl w:val="6074C092"/>
    <w:lvl w:ilvl="0" w:tplc="4AE8015A">
      <w:start w:val="1"/>
      <w:numFmt w:val="decimal"/>
      <w:lvlText w:val="1.%1."/>
      <w:lvlJc w:val="left"/>
      <w:pPr>
        <w:ind w:left="720" w:hanging="360"/>
      </w:pPr>
      <w:rPr>
        <w:rFonts w:hint="default"/>
      </w:rPr>
    </w:lvl>
    <w:lvl w:ilvl="1" w:tplc="56DCC318">
      <w:start w:val="1"/>
      <w:numFmt w:val="decimal"/>
      <w:lvlText w:val="1.%2."/>
      <w:lvlJc w:val="left"/>
      <w:pPr>
        <w:ind w:left="360" w:hanging="360"/>
      </w:pPr>
      <w:rPr>
        <w:rFonts w:ascii="Arial" w:hAnsi="Arial" w:cs="Arial" w:hint="default"/>
        <w:sz w:val="20"/>
      </w:rPr>
    </w:lvl>
    <w:lvl w:ilvl="2" w:tplc="334A190C">
      <w:start w:val="2"/>
      <w:numFmt w:val="bullet"/>
      <w:lvlText w:val="-"/>
      <w:lvlJc w:val="left"/>
      <w:pPr>
        <w:ind w:left="2062" w:hanging="360"/>
      </w:pPr>
      <w:rPr>
        <w:rFonts w:ascii="Arial" w:eastAsiaTheme="minorHAnsi" w:hAnsi="Arial" w:cs="Arial" w:hint="default"/>
        <w:color w:val="000000"/>
        <w:sz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2B37B7"/>
    <w:multiLevelType w:val="hybridMultilevel"/>
    <w:tmpl w:val="17DEE900"/>
    <w:lvl w:ilvl="0" w:tplc="B6D497B8">
      <w:start w:val="1"/>
      <w:numFmt w:val="lowerLetter"/>
      <w:lvlText w:val="%1)"/>
      <w:lvlJc w:val="left"/>
      <w:pPr>
        <w:ind w:left="502" w:hanging="360"/>
      </w:pPr>
      <w:rPr>
        <w:rFonts w:hint="default"/>
        <w:color w:val="000000"/>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350C4B05"/>
    <w:multiLevelType w:val="hybridMultilevel"/>
    <w:tmpl w:val="C7048D96"/>
    <w:lvl w:ilvl="0" w:tplc="3E0817EC">
      <w:start w:val="1"/>
      <w:numFmt w:val="decimal"/>
      <w:lvlText w:val="3.%1."/>
      <w:lvlJc w:val="left"/>
      <w:pPr>
        <w:ind w:left="360" w:hanging="360"/>
      </w:pPr>
      <w:rPr>
        <w:rFonts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17A39E6"/>
    <w:multiLevelType w:val="hybridMultilevel"/>
    <w:tmpl w:val="C6DA2B0E"/>
    <w:lvl w:ilvl="0" w:tplc="1D942E98">
      <w:start w:val="1"/>
      <w:numFmt w:val="decimal"/>
      <w:lvlText w:val="4.%1."/>
      <w:lvlJc w:val="left"/>
      <w:pPr>
        <w:ind w:left="360" w:hanging="360"/>
      </w:pPr>
      <w:rPr>
        <w:rFonts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49B318A"/>
    <w:multiLevelType w:val="hybridMultilevel"/>
    <w:tmpl w:val="9CD2A704"/>
    <w:lvl w:ilvl="0" w:tplc="E5D2450C">
      <w:start w:val="1"/>
      <w:numFmt w:val="lowerLetter"/>
      <w:lvlText w:val="%1)"/>
      <w:lvlJc w:val="left"/>
      <w:pPr>
        <w:ind w:left="1070" w:hanging="360"/>
      </w:pPr>
      <w:rPr>
        <w:color w:val="auto"/>
        <w:sz w:val="2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4FBF0E4D"/>
    <w:multiLevelType w:val="hybridMultilevel"/>
    <w:tmpl w:val="45CADBFC"/>
    <w:lvl w:ilvl="0" w:tplc="124080B4">
      <w:start w:val="1"/>
      <w:numFmt w:val="lowerLetter"/>
      <w:lvlText w:val="%1)"/>
      <w:lvlJc w:val="left"/>
      <w:pPr>
        <w:ind w:left="825" w:hanging="360"/>
      </w:pPr>
      <w:rPr>
        <w:sz w:val="20"/>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8" w15:restartNumberingAfterBreak="0">
    <w:nsid w:val="566C2B3D"/>
    <w:multiLevelType w:val="hybridMultilevel"/>
    <w:tmpl w:val="D30E4638"/>
    <w:lvl w:ilvl="0" w:tplc="3F2E56D6">
      <w:start w:val="1"/>
      <w:numFmt w:val="decimal"/>
      <w:lvlText w:val="5.%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D41CB8"/>
    <w:multiLevelType w:val="hybridMultilevel"/>
    <w:tmpl w:val="F020ACD2"/>
    <w:lvl w:ilvl="0" w:tplc="A13849E8">
      <w:start w:val="1"/>
      <w:numFmt w:val="lowerLetter"/>
      <w:lvlText w:val="%1)"/>
      <w:lvlJc w:val="left"/>
      <w:pPr>
        <w:ind w:left="862" w:hanging="360"/>
      </w:pPr>
      <w:rPr>
        <w:color w:val="auto"/>
        <w:sz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E0219C3"/>
    <w:multiLevelType w:val="hybridMultilevel"/>
    <w:tmpl w:val="AEBC0666"/>
    <w:lvl w:ilvl="0" w:tplc="F9A03556">
      <w:start w:val="1"/>
      <w:numFmt w:val="lowerLetter"/>
      <w:lvlText w:val="%1)"/>
      <w:lvlJc w:val="left"/>
      <w:pPr>
        <w:ind w:left="825" w:hanging="360"/>
      </w:pPr>
      <w:rPr>
        <w:color w:val="auto"/>
        <w:sz w:val="20"/>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21" w15:restartNumberingAfterBreak="0">
    <w:nsid w:val="6F751B23"/>
    <w:multiLevelType w:val="hybridMultilevel"/>
    <w:tmpl w:val="56CC655A"/>
    <w:lvl w:ilvl="0" w:tplc="C9C8789E">
      <w:start w:val="1"/>
      <w:numFmt w:val="lowerLetter"/>
      <w:lvlText w:val="%1)"/>
      <w:lvlJc w:val="left"/>
      <w:pPr>
        <w:ind w:left="1070" w:hanging="360"/>
      </w:pPr>
      <w:rPr>
        <w:sz w:val="2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7F6E652E"/>
    <w:multiLevelType w:val="hybridMultilevel"/>
    <w:tmpl w:val="515E010C"/>
    <w:lvl w:ilvl="0" w:tplc="92A43886">
      <w:start w:val="1"/>
      <w:numFmt w:val="decimal"/>
      <w:lvlText w:val="6.%1."/>
      <w:lvlJc w:val="left"/>
      <w:pPr>
        <w:ind w:left="360" w:hanging="360"/>
      </w:pPr>
      <w:rPr>
        <w:rFonts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70291">
    <w:abstractNumId w:val="5"/>
  </w:num>
  <w:num w:numId="2" w16cid:durableId="1652245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092651">
    <w:abstractNumId w:val="3"/>
  </w:num>
  <w:num w:numId="4" w16cid:durableId="600377229">
    <w:abstractNumId w:val="6"/>
  </w:num>
  <w:num w:numId="5" w16cid:durableId="278609408">
    <w:abstractNumId w:val="2"/>
  </w:num>
  <w:num w:numId="6" w16cid:durableId="325398481">
    <w:abstractNumId w:val="0"/>
  </w:num>
  <w:num w:numId="7" w16cid:durableId="496533042">
    <w:abstractNumId w:val="1"/>
  </w:num>
  <w:num w:numId="8" w16cid:durableId="1330132680">
    <w:abstractNumId w:val="10"/>
  </w:num>
  <w:num w:numId="9" w16cid:durableId="1010059478">
    <w:abstractNumId w:val="19"/>
  </w:num>
  <w:num w:numId="10" w16cid:durableId="1612198074">
    <w:abstractNumId w:val="13"/>
  </w:num>
  <w:num w:numId="11" w16cid:durableId="174150821">
    <w:abstractNumId w:val="12"/>
  </w:num>
  <w:num w:numId="12" w16cid:durableId="784933302">
    <w:abstractNumId w:val="21"/>
  </w:num>
  <w:num w:numId="13" w16cid:durableId="1622493185">
    <w:abstractNumId w:val="17"/>
  </w:num>
  <w:num w:numId="14" w16cid:durableId="1549486987">
    <w:abstractNumId w:val="4"/>
  </w:num>
  <w:num w:numId="15" w16cid:durableId="1706641508">
    <w:abstractNumId w:val="16"/>
  </w:num>
  <w:num w:numId="16" w16cid:durableId="1637449627">
    <w:abstractNumId w:val="14"/>
  </w:num>
  <w:num w:numId="17" w16cid:durableId="1035959235">
    <w:abstractNumId w:val="20"/>
  </w:num>
  <w:num w:numId="18" w16cid:durableId="116721656">
    <w:abstractNumId w:val="15"/>
  </w:num>
  <w:num w:numId="19" w16cid:durableId="191115210">
    <w:abstractNumId w:val="8"/>
  </w:num>
  <w:num w:numId="20" w16cid:durableId="941304923">
    <w:abstractNumId w:val="18"/>
  </w:num>
  <w:num w:numId="21" w16cid:durableId="1282803134">
    <w:abstractNumId w:val="22"/>
  </w:num>
  <w:num w:numId="22" w16cid:durableId="1271667530">
    <w:abstractNumId w:val="9"/>
  </w:num>
  <w:num w:numId="23" w16cid:durableId="8922293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éla Palovská">
    <w15:presenceInfo w15:providerId="AD" w15:userId="S::adela.palovska@qcm.cz::7fa887cd-5eea-4f93-9353-88c4bdf354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28"/>
    <w:rsid w:val="001273A0"/>
    <w:rsid w:val="007C35FD"/>
    <w:rsid w:val="008D0D92"/>
    <w:rsid w:val="00971728"/>
    <w:rsid w:val="00C3082B"/>
    <w:rsid w:val="00D40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385B"/>
  <w15:chartTrackingRefBased/>
  <w15:docId w15:val="{7074C221-F763-4D9A-9EE6-C6E82A57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pPr>
      <w:ind w:left="720"/>
      <w:contextualSpacing/>
    </w:pPr>
  </w:style>
  <w:style w:type="paragraph" w:styleId="Normlnweb">
    <w:name w:val="Normal (Web)"/>
    <w:basedOn w:val="Normln"/>
    <w:unhideWhenUsed/>
    <w:pPr>
      <w:spacing w:before="75" w:after="0" w:line="240" w:lineRule="auto"/>
      <w:jc w:val="both"/>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Pr>
      <w:i/>
      <w:iCs/>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Bezmezer">
    <w:name w:val="No Spacing"/>
    <w:uiPriority w:val="1"/>
    <w:qFormat/>
    <w:pPr>
      <w:spacing w:after="0" w:line="240" w:lineRule="auto"/>
    </w:pPr>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03D8-0EC7-4064-967A-2A59618F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3320</Words>
  <Characters>19589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Veronika Gruberová</dc:creator>
  <cp:keywords/>
  <dc:description/>
  <cp:lastModifiedBy>Adéla Palovská</cp:lastModifiedBy>
  <cp:revision>62</cp:revision>
  <cp:lastPrinted>2025-10-27T10:02:00Z</cp:lastPrinted>
  <dcterms:created xsi:type="dcterms:W3CDTF">2025-10-27T20:02:00Z</dcterms:created>
  <dcterms:modified xsi:type="dcterms:W3CDTF">2025-12-19T10:35:00Z</dcterms:modified>
</cp:coreProperties>
</file>