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A6E9" w14:textId="77777777" w:rsidR="004B1E89" w:rsidRDefault="007E1B59">
      <w:pPr>
        <w:pStyle w:val="Nzev"/>
        <w:jc w:val="center"/>
        <w:rPr>
          <w:b/>
        </w:rPr>
      </w:pPr>
      <w:r>
        <w:rPr>
          <w:b/>
        </w:rPr>
        <w:t>VZORY KE ZPRACOVÁNÍ DOKLADŮ O KVALIFIKACI</w:t>
      </w:r>
    </w:p>
    <w:p w14:paraId="36A1A6EA" w14:textId="77777777" w:rsidR="004B1E89" w:rsidRDefault="004B1E89">
      <w:pPr>
        <w:spacing w:after="0"/>
        <w:jc w:val="center"/>
        <w:rPr>
          <w:noProof/>
          <w:lang w:eastAsia="cs-CZ"/>
        </w:rPr>
      </w:pPr>
    </w:p>
    <w:p w14:paraId="2E52FFCD" w14:textId="77777777" w:rsidR="0094354B" w:rsidRDefault="0094354B" w:rsidP="009435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54B" w14:paraId="55CFC936" w14:textId="77777777" w:rsidTr="004014B6">
        <w:tc>
          <w:tcPr>
            <w:tcW w:w="9212" w:type="dxa"/>
          </w:tcPr>
          <w:p w14:paraId="412C268D" w14:textId="77777777" w:rsidR="0094354B" w:rsidRDefault="0094354B" w:rsidP="004014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Dynamický nákupní systém</w:t>
            </w:r>
          </w:p>
        </w:tc>
      </w:tr>
      <w:tr w:rsidR="0094354B" w14:paraId="4CE70E38" w14:textId="77777777" w:rsidTr="004014B6">
        <w:trPr>
          <w:trHeight w:val="408"/>
        </w:trPr>
        <w:tc>
          <w:tcPr>
            <w:tcW w:w="9212" w:type="dxa"/>
          </w:tcPr>
          <w:p w14:paraId="1F66FC3A" w14:textId="77777777" w:rsidR="0094354B" w:rsidRDefault="0094354B" w:rsidP="004014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36"/>
              </w:rPr>
              <w:t>Dynamický nákupní systém na opravy ZTI</w:t>
            </w:r>
          </w:p>
        </w:tc>
      </w:tr>
    </w:tbl>
    <w:p w14:paraId="57194951" w14:textId="77777777" w:rsidR="0094354B" w:rsidRDefault="0094354B" w:rsidP="0094354B"/>
    <w:p w14:paraId="001E9381" w14:textId="77777777" w:rsidR="0094354B" w:rsidRDefault="0094354B" w:rsidP="0094354B">
      <w:pPr>
        <w:spacing w:after="0"/>
        <w:jc w:val="center"/>
      </w:pPr>
    </w:p>
    <w:p w14:paraId="300D5EA2" w14:textId="77777777" w:rsidR="0094354B" w:rsidRDefault="0094354B" w:rsidP="0094354B">
      <w:pPr>
        <w:spacing w:after="0"/>
        <w:jc w:val="center"/>
      </w:pPr>
      <w:r>
        <w:t>DNS je zadáván dle zákona č. 134/2016 Sb., o zadávání veřejných zakázek, ve znění pozdějších předpisů (dále jen Zákon)</w:t>
      </w:r>
    </w:p>
    <w:p w14:paraId="0BF42B1F" w14:textId="77777777" w:rsidR="0094354B" w:rsidRDefault="0094354B" w:rsidP="009435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7"/>
        <w:gridCol w:w="4565"/>
      </w:tblGrid>
      <w:tr w:rsidR="0094354B" w14:paraId="702C0572" w14:textId="77777777" w:rsidTr="004014B6">
        <w:tc>
          <w:tcPr>
            <w:tcW w:w="4606" w:type="dxa"/>
          </w:tcPr>
          <w:p w14:paraId="312703F4" w14:textId="77777777" w:rsidR="0094354B" w:rsidRDefault="0094354B" w:rsidP="004014B6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40CF6A41" w14:textId="77777777" w:rsidR="0094354B" w:rsidRDefault="0094354B" w:rsidP="004014B6">
            <w:r>
              <w:t>Užší řízení – řízení na zavedení DNS</w:t>
            </w:r>
          </w:p>
        </w:tc>
      </w:tr>
      <w:tr w:rsidR="0094354B" w14:paraId="74F39498" w14:textId="77777777" w:rsidTr="004014B6">
        <w:tc>
          <w:tcPr>
            <w:tcW w:w="4606" w:type="dxa"/>
          </w:tcPr>
          <w:p w14:paraId="63D9CB57" w14:textId="77777777" w:rsidR="0094354B" w:rsidRDefault="0094354B" w:rsidP="004014B6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606" w:type="dxa"/>
          </w:tcPr>
          <w:p w14:paraId="355ABC39" w14:textId="77777777" w:rsidR="0094354B" w:rsidRDefault="0094354B" w:rsidP="004014B6">
            <w:r>
              <w:t>Nadlimitní</w:t>
            </w:r>
          </w:p>
        </w:tc>
      </w:tr>
      <w:tr w:rsidR="0094354B" w14:paraId="46131293" w14:textId="77777777" w:rsidTr="004014B6">
        <w:tc>
          <w:tcPr>
            <w:tcW w:w="4606" w:type="dxa"/>
          </w:tcPr>
          <w:p w14:paraId="3F988CC5" w14:textId="77777777" w:rsidR="0094354B" w:rsidRDefault="0094354B" w:rsidP="004014B6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5A5D3DA7" w14:textId="77777777" w:rsidR="0094354B" w:rsidRDefault="0094354B" w:rsidP="004014B6">
            <w:r>
              <w:t>Stavební práce</w:t>
            </w:r>
          </w:p>
        </w:tc>
      </w:tr>
      <w:tr w:rsidR="0094354B" w14:paraId="1131E3AD" w14:textId="77777777" w:rsidTr="004014B6">
        <w:tc>
          <w:tcPr>
            <w:tcW w:w="4606" w:type="dxa"/>
          </w:tcPr>
          <w:p w14:paraId="64BC6240" w14:textId="77777777" w:rsidR="0094354B" w:rsidRPr="00F77E44" w:rsidRDefault="0094354B" w:rsidP="004014B6">
            <w:pPr>
              <w:rPr>
                <w:b/>
              </w:rPr>
            </w:pPr>
            <w:r w:rsidRPr="00F77E44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2A120AB7" w14:textId="2E5395AF" w:rsidR="0094354B" w:rsidRPr="00F77E44" w:rsidRDefault="00F77E44" w:rsidP="00F77E44">
            <w:pPr>
              <w:rPr>
                <w:b/>
                <w:bCs/>
              </w:rPr>
            </w:pPr>
            <w:r w:rsidRPr="00F77E44">
              <w:rPr>
                <w:b/>
                <w:bCs/>
              </w:rPr>
              <w:t>200 000 000</w:t>
            </w:r>
            <w:r w:rsidR="0094354B" w:rsidRPr="00F77E44">
              <w:rPr>
                <w:b/>
                <w:bCs/>
              </w:rPr>
              <w:t xml:space="preserve"> Kč bez DPH</w:t>
            </w:r>
          </w:p>
        </w:tc>
      </w:tr>
      <w:tr w:rsidR="0094354B" w14:paraId="30C168A2" w14:textId="77777777" w:rsidTr="004014B6">
        <w:tc>
          <w:tcPr>
            <w:tcW w:w="4606" w:type="dxa"/>
          </w:tcPr>
          <w:p w14:paraId="41F82B7B" w14:textId="77777777" w:rsidR="0094354B" w:rsidRDefault="0094354B" w:rsidP="004014B6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68A8DA09" w14:textId="77777777" w:rsidR="0094354B" w:rsidRDefault="0094354B" w:rsidP="004014B6">
            <w:hyperlink r:id="rId11" w:history="1">
              <w:r>
                <w:rPr>
                  <w:rStyle w:val="Hypertextovodkaz"/>
                </w:rPr>
                <w:t>https://zakazky.brno-stred.cz/profile_display_2.html</w:t>
              </w:r>
            </w:hyperlink>
            <w:r>
              <w:t xml:space="preserve"> </w:t>
            </w:r>
          </w:p>
        </w:tc>
      </w:tr>
      <w:tr w:rsidR="0094354B" w14:paraId="2208CEAE" w14:textId="77777777" w:rsidTr="004014B6">
        <w:tc>
          <w:tcPr>
            <w:tcW w:w="4606" w:type="dxa"/>
          </w:tcPr>
          <w:p w14:paraId="06D7CEC5" w14:textId="77777777" w:rsidR="0094354B" w:rsidRPr="00F77E44" w:rsidRDefault="0094354B" w:rsidP="004014B6">
            <w:pPr>
              <w:rPr>
                <w:b/>
              </w:rPr>
            </w:pPr>
            <w:r w:rsidRPr="00F77E44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20240CB9" w14:textId="40E41111" w:rsidR="0094354B" w:rsidRPr="00F77E44" w:rsidRDefault="00DA1C32" w:rsidP="004014B6">
            <w:r>
              <w:t>16</w:t>
            </w:r>
            <w:r w:rsidR="0094354B" w:rsidRPr="00F77E44">
              <w:t xml:space="preserve">. </w:t>
            </w:r>
            <w:r>
              <w:t>4</w:t>
            </w:r>
            <w:r w:rsidR="0094354B" w:rsidRPr="00F77E44">
              <w:t>. 2025</w:t>
            </w:r>
          </w:p>
        </w:tc>
      </w:tr>
    </w:tbl>
    <w:p w14:paraId="46EDA8E6" w14:textId="77777777" w:rsidR="0094354B" w:rsidRDefault="0094354B" w:rsidP="0094354B"/>
    <w:p w14:paraId="26756888" w14:textId="77777777" w:rsidR="0094354B" w:rsidRDefault="0094354B" w:rsidP="0094354B"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553B3A2" wp14:editId="371F2B37">
            <wp:simplePos x="0" y="0"/>
            <wp:positionH relativeFrom="column">
              <wp:posOffset>2119630</wp:posOffset>
            </wp:positionH>
            <wp:positionV relativeFrom="paragraph">
              <wp:posOffset>245110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7EF3E" w14:textId="77777777" w:rsidR="0094354B" w:rsidRDefault="0094354B" w:rsidP="0094354B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59E1DC16" w14:textId="77777777" w:rsidR="0094354B" w:rsidRDefault="0094354B" w:rsidP="0094354B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48C52B88" w14:textId="77777777" w:rsidR="0094354B" w:rsidRDefault="0094354B" w:rsidP="0094354B">
      <w:pPr>
        <w:jc w:val="center"/>
      </w:pPr>
    </w:p>
    <w:p w14:paraId="4F23E928" w14:textId="77777777" w:rsidR="0094354B" w:rsidRDefault="0094354B" w:rsidP="0094354B">
      <w:pPr>
        <w:jc w:val="center"/>
      </w:pPr>
    </w:p>
    <w:p w14:paraId="2FB47AD3" w14:textId="77777777" w:rsidR="0094354B" w:rsidRDefault="0094354B" w:rsidP="0094354B">
      <w:pPr>
        <w:jc w:val="center"/>
      </w:pPr>
      <w:r>
        <w:t xml:space="preserve">DNS je zaváděn v certifikovaném elektronickém nástroji E-ZAK, který je dostupný na </w:t>
      </w:r>
      <w:hyperlink r:id="rId13" w:history="1">
        <w:r>
          <w:rPr>
            <w:rStyle w:val="Hypertextovodkaz"/>
          </w:rPr>
          <w:t>https://zakazky.brno-stred.cz/</w:t>
        </w:r>
      </w:hyperlink>
      <w:r>
        <w:t xml:space="preserve">. </w:t>
      </w:r>
    </w:p>
    <w:p w14:paraId="39D8BB95" w14:textId="77777777" w:rsidR="0094354B" w:rsidRDefault="0094354B" w:rsidP="0094354B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4AA10F2E" w14:textId="77777777" w:rsidR="0094354B" w:rsidRDefault="0094354B" w:rsidP="0094354B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1FD03F90" w14:textId="77777777" w:rsidR="0094354B" w:rsidRDefault="0094354B" w:rsidP="0094354B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4354B" w14:paraId="56147189" w14:textId="77777777" w:rsidTr="004014B6">
        <w:tc>
          <w:tcPr>
            <w:tcW w:w="4673" w:type="dxa"/>
          </w:tcPr>
          <w:p w14:paraId="132347B7" w14:textId="77777777" w:rsidR="0094354B" w:rsidRDefault="0094354B" w:rsidP="004014B6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4B82E722" w14:textId="77777777" w:rsidR="0094354B" w:rsidRDefault="0094354B" w:rsidP="004014B6">
            <w:pPr>
              <w:pStyle w:val="Bezmezer"/>
              <w:rPr>
                <w:b/>
              </w:rPr>
            </w:pPr>
            <w:r>
              <w:rPr>
                <w:b/>
              </w:rPr>
              <w:t>Statutární město Brno</w:t>
            </w:r>
          </w:p>
          <w:p w14:paraId="77E9F145" w14:textId="77777777" w:rsidR="0094354B" w:rsidRDefault="0094354B" w:rsidP="004014B6">
            <w:pPr>
              <w:pStyle w:val="Bezmezer"/>
              <w:rPr>
                <w:b/>
              </w:rPr>
            </w:pPr>
            <w:r>
              <w:rPr>
                <w:b/>
              </w:rPr>
              <w:t>městská část Brno-střed</w:t>
            </w:r>
          </w:p>
          <w:p w14:paraId="64D9CFD0" w14:textId="77777777" w:rsidR="0094354B" w:rsidRDefault="0094354B" w:rsidP="004014B6">
            <w:pPr>
              <w:pStyle w:val="Bezmezer"/>
              <w:rPr>
                <w:bCs/>
              </w:rPr>
            </w:pPr>
            <w:r>
              <w:rPr>
                <w:bCs/>
              </w:rPr>
              <w:t>Dominikánská 2</w:t>
            </w:r>
          </w:p>
          <w:p w14:paraId="13064032" w14:textId="77777777" w:rsidR="0094354B" w:rsidRDefault="0094354B" w:rsidP="004014B6">
            <w:pPr>
              <w:pStyle w:val="Bezmezer"/>
              <w:rPr>
                <w:bCs/>
              </w:rPr>
            </w:pPr>
            <w:r>
              <w:rPr>
                <w:bCs/>
              </w:rPr>
              <w:t>601 69 Brno</w:t>
            </w:r>
          </w:p>
          <w:p w14:paraId="71D98BA3" w14:textId="77777777" w:rsidR="0094354B" w:rsidRDefault="0094354B" w:rsidP="004014B6">
            <w:pPr>
              <w:pStyle w:val="Bezmezer"/>
            </w:pPr>
          </w:p>
          <w:p w14:paraId="41CEE560" w14:textId="77777777" w:rsidR="0094354B" w:rsidRDefault="0094354B" w:rsidP="004014B6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94262C6" w14:textId="77777777" w:rsidR="0094354B" w:rsidRDefault="0094354B" w:rsidP="004014B6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Zastoupení podle § 43 Zákona:</w:t>
            </w:r>
          </w:p>
          <w:p w14:paraId="42D42A09" w14:textId="77777777" w:rsidR="0094354B" w:rsidRDefault="0094354B" w:rsidP="004014B6">
            <w:pPr>
              <w:widowControl w:val="0"/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QCM Administrace, s.r.o.</w:t>
            </w:r>
          </w:p>
          <w:p w14:paraId="605D6885" w14:textId="77777777" w:rsidR="0094354B" w:rsidRDefault="0094354B" w:rsidP="004014B6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se sídlem Heršpická 813/5, </w:t>
            </w:r>
          </w:p>
          <w:p w14:paraId="7A7F9A91" w14:textId="77777777" w:rsidR="0094354B" w:rsidRDefault="0094354B" w:rsidP="004014B6">
            <w:pPr>
              <w:widowControl w:val="0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639 00 Brno</w:t>
            </w:r>
          </w:p>
          <w:p w14:paraId="0C59AE3B" w14:textId="77777777" w:rsidR="0094354B" w:rsidRDefault="0094354B" w:rsidP="004014B6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zapsaná v obchodním rejstříku</w:t>
            </w:r>
          </w:p>
          <w:p w14:paraId="677DC328" w14:textId="77777777" w:rsidR="0094354B" w:rsidRDefault="0094354B" w:rsidP="004014B6">
            <w:pPr>
              <w:widowControl w:val="0"/>
              <w:suppressAutoHyphens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5EB4B86F" w14:textId="77777777" w:rsidR="0094354B" w:rsidRDefault="0094354B" w:rsidP="004014B6">
            <w:pPr>
              <w:pStyle w:val="Bezmezer"/>
              <w:rPr>
                <w:rFonts w:cs="Arial"/>
              </w:rPr>
            </w:pPr>
          </w:p>
        </w:tc>
      </w:tr>
      <w:tr w:rsidR="0094354B" w14:paraId="49CC7FE8" w14:textId="77777777" w:rsidTr="004014B6">
        <w:tc>
          <w:tcPr>
            <w:tcW w:w="4673" w:type="dxa"/>
          </w:tcPr>
          <w:p w14:paraId="69546E3B" w14:textId="77777777" w:rsidR="0094354B" w:rsidRDefault="0094354B" w:rsidP="004014B6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 44992785</w:t>
            </w:r>
          </w:p>
        </w:tc>
        <w:tc>
          <w:tcPr>
            <w:tcW w:w="4536" w:type="dxa"/>
          </w:tcPr>
          <w:p w14:paraId="6715C8FD" w14:textId="77777777" w:rsidR="0094354B" w:rsidRDefault="0094354B" w:rsidP="004014B6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>IČO: 29244919</w:t>
            </w:r>
          </w:p>
        </w:tc>
      </w:tr>
    </w:tbl>
    <w:p w14:paraId="36A1A722" w14:textId="77777777" w:rsidR="004B1E89" w:rsidRDefault="007E1B59">
      <w:pPr>
        <w:rPr>
          <w:rFonts w:eastAsiaTheme="majorEastAsia" w:cstheme="majorBidi"/>
          <w:sz w:val="28"/>
          <w:szCs w:val="28"/>
        </w:rPr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4DC" w14:paraId="6EFFCD7F" w14:textId="77777777" w:rsidTr="004014B6">
        <w:tc>
          <w:tcPr>
            <w:tcW w:w="9212" w:type="dxa"/>
          </w:tcPr>
          <w:p w14:paraId="6BE944C3" w14:textId="77777777" w:rsidR="009F64DC" w:rsidRDefault="009F64DC" w:rsidP="004014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Dynamický nákupní systém</w:t>
            </w:r>
          </w:p>
        </w:tc>
      </w:tr>
      <w:tr w:rsidR="009F64DC" w14:paraId="2735655C" w14:textId="77777777" w:rsidTr="004014B6">
        <w:trPr>
          <w:trHeight w:val="408"/>
        </w:trPr>
        <w:tc>
          <w:tcPr>
            <w:tcW w:w="9212" w:type="dxa"/>
          </w:tcPr>
          <w:p w14:paraId="667B6743" w14:textId="77777777" w:rsidR="009F64DC" w:rsidRDefault="009F64DC" w:rsidP="004014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36"/>
              </w:rPr>
              <w:t>Dynamický nákupní systém na opravy ZTI</w:t>
            </w:r>
          </w:p>
        </w:tc>
      </w:tr>
    </w:tbl>
    <w:p w14:paraId="36A1A727" w14:textId="77777777" w:rsidR="004B1E89" w:rsidRDefault="004B1E89"/>
    <w:p w14:paraId="36A1A728" w14:textId="77777777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SOUHRNNé ČESTNÉ PROHLÁŠENÍ KE SPLNĚNÍ KVALIFIKAČNÍCH PŘEDPOKLADŮ a k podání žádosti o účast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77777777" w:rsidR="004B1E89" w:rsidRDefault="004B1E89">
            <w:pPr>
              <w:rPr>
                <w:rFonts w:cs="Arial"/>
              </w:rPr>
            </w:pP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77777777" w:rsidR="004B1E89" w:rsidRDefault="004B1E89">
            <w:pPr>
              <w:rPr>
                <w:rFonts w:cs="Arial"/>
              </w:rPr>
            </w:pP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77777777" w:rsidR="004B1E89" w:rsidRDefault="004B1E89">
            <w:pPr>
              <w:rPr>
                <w:rFonts w:cs="Arial"/>
              </w:rPr>
            </w:pP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77777777" w:rsidR="004B1E89" w:rsidRDefault="004B1E89">
            <w:pPr>
              <w:rPr>
                <w:rFonts w:cs="Arial"/>
              </w:rPr>
            </w:pP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77777777" w:rsidR="004B1E89" w:rsidRDefault="004B1E89">
            <w:pPr>
              <w:rPr>
                <w:rFonts w:cs="Arial"/>
              </w:rPr>
            </w:pPr>
          </w:p>
        </w:tc>
      </w:tr>
    </w:tbl>
    <w:p w14:paraId="36A1A73D" w14:textId="5690DC90" w:rsidR="004B1E89" w:rsidRPr="009F64DC" w:rsidRDefault="007E1B59" w:rsidP="00F22657">
      <w:pPr>
        <w:pStyle w:val="Zhlav"/>
        <w:tabs>
          <w:tab w:val="clear" w:pos="4536"/>
          <w:tab w:val="clear" w:pos="9072"/>
        </w:tabs>
        <w:spacing w:before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který samostatně/společně s jinou osobou/společně s jinými osobami</w:t>
      </w:r>
      <w:r>
        <w:rPr>
          <w:rStyle w:val="Znakapoznpodarou"/>
          <w:rFonts w:ascii="Verdana" w:hAnsi="Verdana" w:cs="Arial"/>
          <w:sz w:val="22"/>
          <w:szCs w:val="22"/>
        </w:rPr>
        <w:footnoteReference w:id="1"/>
      </w:r>
      <w:r>
        <w:rPr>
          <w:rFonts w:ascii="Verdana" w:hAnsi="Verdana" w:cs="Arial"/>
          <w:sz w:val="22"/>
          <w:szCs w:val="22"/>
        </w:rPr>
        <w:t xml:space="preserve">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žádost o účast a usiluje o zařazení do výše uvedeného DNS</w:t>
      </w:r>
    </w:p>
    <w:p w14:paraId="36A1A73F" w14:textId="220B5158" w:rsidR="004B1E89" w:rsidRDefault="007E1B59" w:rsidP="00F22657">
      <w:pPr>
        <w:spacing w:before="240" w:after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7777777" w:rsidR="004B1E89" w:rsidRDefault="007E1B59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36A1A741" w14:textId="77777777" w:rsidR="004B1E89" w:rsidRDefault="007E1B59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>není nezpůsobilým dodavatelem ve smyslu § 74 Zákona, tedy:</w:t>
      </w:r>
    </w:p>
    <w:p w14:paraId="36A1A742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 xml:space="preserve">nebyl v zemi svého sídla v posledních 5 letech před zahájením zadávacího řízení pravomocně odsouzen pro </w:t>
      </w:r>
    </w:p>
    <w:p w14:paraId="36A1A743" w14:textId="77777777" w:rsidR="004B1E89" w:rsidRDefault="007E1B5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trestný čin spáchaný ve prospěch organizované zločinecké skupiny nebo trestný čin účasti na organizované zločinecké skupině,</w:t>
      </w:r>
    </w:p>
    <w:p w14:paraId="36A1A744" w14:textId="77777777" w:rsidR="004B1E89" w:rsidRDefault="007E1B5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trestný čin obchodování s lidmi,</w:t>
      </w:r>
    </w:p>
    <w:p w14:paraId="36A1A745" w14:textId="77777777" w:rsidR="004B1E89" w:rsidRDefault="007E1B5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tyto trestné činy proti majetku</w:t>
      </w:r>
    </w:p>
    <w:p w14:paraId="36A1A746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podvod,</w:t>
      </w:r>
    </w:p>
    <w:p w14:paraId="36A1A747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pojistný podvod,</w:t>
      </w:r>
    </w:p>
    <w:p w14:paraId="36A1A748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úvěrový podvod,</w:t>
      </w:r>
    </w:p>
    <w:p w14:paraId="36A1A749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dotační podvod,</w:t>
      </w:r>
    </w:p>
    <w:p w14:paraId="36A1A74A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legalizace výnosů z trestné činnosti,</w:t>
      </w:r>
    </w:p>
    <w:p w14:paraId="36A1A74B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legalizace výnosů z trestné činnosti z nedbalosti,</w:t>
      </w:r>
    </w:p>
    <w:p w14:paraId="36A1A74C" w14:textId="77777777" w:rsidR="004B1E89" w:rsidRDefault="007E1B5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tyto trestné činy hospodářské</w:t>
      </w:r>
    </w:p>
    <w:p w14:paraId="36A1A74D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zneužití informace v obchodním styku,</w:t>
      </w:r>
    </w:p>
    <w:p w14:paraId="36A1A74E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zjednání výhody při zadání veřejné zakázky, při veřejné soutěži a veřejné dražbě,</w:t>
      </w:r>
    </w:p>
    <w:p w14:paraId="36A1A74F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pletichy při zadání veřejné zakázky a při veřejné soutěži,</w:t>
      </w:r>
    </w:p>
    <w:p w14:paraId="36A1A750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t>pletichy při veřejné dražbě,</w:t>
      </w:r>
    </w:p>
    <w:p w14:paraId="36A1A751" w14:textId="77777777" w:rsidR="004B1E89" w:rsidRDefault="007E1B59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jc w:val="both"/>
      </w:pPr>
      <w:r>
        <w:lastRenderedPageBreak/>
        <w:t>poškození finančních zájmů Evropské unie,</w:t>
      </w:r>
    </w:p>
    <w:p w14:paraId="36A1A752" w14:textId="77777777" w:rsidR="004B1E89" w:rsidRDefault="007E1B5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trestné činy proti České republice, cizímu státu a mezinárodní organizaci,</w:t>
      </w:r>
    </w:p>
    <w:p w14:paraId="36A1A753" w14:textId="77777777" w:rsidR="004B1E89" w:rsidRDefault="007E1B5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</w:pPr>
      <w:r>
        <w:t>tyto trestné činy proti pořádku ve věcech veřejných</w:t>
      </w:r>
    </w:p>
    <w:p w14:paraId="36A1A754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trestné činy proti výkonu pravomoci orgánu veřejné moci a úřední osoby,</w:t>
      </w:r>
    </w:p>
    <w:p w14:paraId="36A1A755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trestné činy úředních osob,</w:t>
      </w:r>
    </w:p>
    <w:p w14:paraId="36A1A756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úplatkářství,</w:t>
      </w:r>
    </w:p>
    <w:p w14:paraId="36A1A757" w14:textId="77777777" w:rsidR="004B1E89" w:rsidRDefault="007E1B5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</w:pPr>
      <w:r>
        <w:t>jiná rušení činnosti orgánu veřejné moci.</w:t>
      </w:r>
    </w:p>
    <w:p w14:paraId="36A1A758" w14:textId="77777777" w:rsidR="004B1E89" w:rsidRDefault="007E1B59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</w:pPr>
      <w:r>
        <w:t>nebo obdobný trestný čin podle právního řádu země sídla dodavatele ve smyslu § 74 odst. 1 písm. a) Zákona; k zahlazeným odsouzením se nepřihlíží,</w:t>
      </w:r>
    </w:p>
    <w:p w14:paraId="36A1A759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nemá v České republice nebo v zemi svého sídla v evidenci daní zachycen splatný daňový nedoplatek ve vztahu ke spotřební dani ve smyslu § 74 odst. 1 písm. b) Zákona,</w:t>
      </w:r>
    </w:p>
    <w:p w14:paraId="36A1A75A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nemá v České republice nebo v zemi svého sídla splatný nedoplatek na pojistném nebo na penále na veřejné zdravotní pojištění ve smyslu § 74 odst. 1 písm. c) Zákona,</w:t>
      </w:r>
    </w:p>
    <w:p w14:paraId="36A1A75B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36A1A75C" w14:textId="77777777" w:rsidR="004B1E89" w:rsidRDefault="007E1B5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</w:pPr>
      <w:r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36A1A75D" w14:textId="77777777" w:rsidR="004B1E89" w:rsidRDefault="004B1E89">
      <w:pPr>
        <w:widowControl w:val="0"/>
        <w:autoSpaceDE w:val="0"/>
        <w:autoSpaceDN w:val="0"/>
        <w:adjustRightInd w:val="0"/>
        <w:spacing w:after="0"/>
        <w:ind w:left="709" w:hanging="425"/>
        <w:jc w:val="both"/>
      </w:pPr>
    </w:p>
    <w:p w14:paraId="36A1A75E" w14:textId="77777777" w:rsidR="004B1E89" w:rsidRDefault="007E1B5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36A1A75F" w14:textId="77777777" w:rsidR="004B1E89" w:rsidRDefault="007E1B5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právnická osoba,</w:t>
      </w:r>
    </w:p>
    <w:p w14:paraId="36A1A760" w14:textId="77777777" w:rsidR="004B1E89" w:rsidRDefault="007E1B5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každý člen statutárního orgánu této právnické osoby a</w:t>
      </w:r>
    </w:p>
    <w:p w14:paraId="36A1A761" w14:textId="77777777" w:rsidR="004B1E89" w:rsidRDefault="007E1B5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osoba zastupující tuto právnickou osobu v statutárním orgánu dodavatele.</w:t>
      </w:r>
    </w:p>
    <w:p w14:paraId="36A1A762" w14:textId="77777777" w:rsidR="004B1E89" w:rsidRDefault="004B1E89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36A1A763" w14:textId="77777777" w:rsidR="004B1E89" w:rsidRDefault="007E1B59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36A1A766" w14:textId="1D56F848" w:rsidR="004B1E89" w:rsidRPr="00340416" w:rsidRDefault="007E1B59" w:rsidP="00340416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předkládá následující </w:t>
      </w:r>
      <w:r>
        <w:rPr>
          <w:rFonts w:cs="Arial"/>
          <w:b/>
        </w:rPr>
        <w:t>seznam významných stavebních prací:</w:t>
      </w:r>
    </w:p>
    <w:tbl>
      <w:tblPr>
        <w:tblpPr w:leftFromText="141" w:rightFromText="141" w:vertAnchor="text" w:horzAnchor="margin" w:tblpX="9" w:tblpY="1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18"/>
        <w:gridCol w:w="1588"/>
        <w:gridCol w:w="1773"/>
        <w:gridCol w:w="1918"/>
        <w:gridCol w:w="1525"/>
      </w:tblGrid>
      <w:tr w:rsidR="004B1E89" w14:paraId="36A1A76D" w14:textId="77777777" w:rsidTr="00340416">
        <w:trPr>
          <w:trHeight w:val="1124"/>
        </w:trPr>
        <w:tc>
          <w:tcPr>
            <w:tcW w:w="700" w:type="dxa"/>
          </w:tcPr>
          <w:p w14:paraId="36A1A767" w14:textId="77777777" w:rsidR="004B1E89" w:rsidRDefault="007E1B59" w:rsidP="00340416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Poř. číslo</w:t>
            </w:r>
          </w:p>
        </w:tc>
        <w:tc>
          <w:tcPr>
            <w:tcW w:w="1818" w:type="dxa"/>
          </w:tcPr>
          <w:p w14:paraId="36A1A768" w14:textId="77777777" w:rsidR="004B1E89" w:rsidRDefault="007E1B59" w:rsidP="00340416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 vč. kontaktu</w:t>
            </w:r>
          </w:p>
        </w:tc>
        <w:tc>
          <w:tcPr>
            <w:tcW w:w="1588" w:type="dxa"/>
          </w:tcPr>
          <w:p w14:paraId="36A1A769" w14:textId="77777777" w:rsidR="004B1E89" w:rsidRDefault="007E1B59" w:rsidP="00340416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Stavební práce a místo plnění</w:t>
            </w:r>
          </w:p>
        </w:tc>
        <w:tc>
          <w:tcPr>
            <w:tcW w:w="1773" w:type="dxa"/>
          </w:tcPr>
          <w:p w14:paraId="36A1A76A" w14:textId="77777777" w:rsidR="004B1E89" w:rsidRDefault="007E1B59" w:rsidP="00340416">
            <w:pPr>
              <w:suppressAutoHyphens/>
              <w:spacing w:after="0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Stručný popis – soupis činností a oprav</w:t>
            </w:r>
          </w:p>
        </w:tc>
        <w:tc>
          <w:tcPr>
            <w:tcW w:w="1918" w:type="dxa"/>
          </w:tcPr>
          <w:p w14:paraId="36A1A76B" w14:textId="77777777" w:rsidR="004B1E89" w:rsidRDefault="007E1B59" w:rsidP="00340416">
            <w:pPr>
              <w:suppressAutoHyphens/>
              <w:spacing w:after="0"/>
              <w:rPr>
                <w:rFonts w:cs="Verdana"/>
              </w:rPr>
            </w:pPr>
            <w:r>
              <w:rPr>
                <w:rFonts w:cs="Verdana"/>
              </w:rPr>
              <w:t>Cena prací v Kč bez DPH</w:t>
            </w:r>
          </w:p>
        </w:tc>
        <w:tc>
          <w:tcPr>
            <w:tcW w:w="1525" w:type="dxa"/>
          </w:tcPr>
          <w:p w14:paraId="36A1A76C" w14:textId="77777777" w:rsidR="004B1E89" w:rsidRDefault="007E1B59" w:rsidP="00340416">
            <w:pPr>
              <w:suppressAutoHyphens/>
              <w:spacing w:after="0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  <w:t>od - do</w:t>
            </w:r>
            <w:r>
              <w:rPr>
                <w:rStyle w:val="Znakapoznpodarou"/>
                <w:rFonts w:cs="Verdana"/>
              </w:rPr>
              <w:footnoteReference w:id="2"/>
            </w:r>
          </w:p>
        </w:tc>
      </w:tr>
      <w:tr w:rsidR="004B1E89" w14:paraId="36A1A774" w14:textId="77777777" w:rsidTr="00E546DF">
        <w:trPr>
          <w:trHeight w:val="397"/>
        </w:trPr>
        <w:tc>
          <w:tcPr>
            <w:tcW w:w="700" w:type="dxa"/>
          </w:tcPr>
          <w:p w14:paraId="36A1A76E" w14:textId="77777777" w:rsidR="004B1E89" w:rsidRDefault="007E1B5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818" w:type="dxa"/>
          </w:tcPr>
          <w:p w14:paraId="36A1A76F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88" w:type="dxa"/>
          </w:tcPr>
          <w:p w14:paraId="36A1A770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73" w:type="dxa"/>
          </w:tcPr>
          <w:p w14:paraId="36A1A771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6A1A772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25" w:type="dxa"/>
          </w:tcPr>
          <w:p w14:paraId="36A1A773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4B1E89" w14:paraId="36A1A77B" w14:textId="77777777" w:rsidTr="00E546DF">
        <w:trPr>
          <w:trHeight w:val="397"/>
        </w:trPr>
        <w:tc>
          <w:tcPr>
            <w:tcW w:w="700" w:type="dxa"/>
          </w:tcPr>
          <w:p w14:paraId="36A1A775" w14:textId="77777777" w:rsidR="004B1E89" w:rsidRDefault="007E1B5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818" w:type="dxa"/>
          </w:tcPr>
          <w:p w14:paraId="36A1A776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88" w:type="dxa"/>
          </w:tcPr>
          <w:p w14:paraId="36A1A777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73" w:type="dxa"/>
          </w:tcPr>
          <w:p w14:paraId="36A1A778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6A1A779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25" w:type="dxa"/>
          </w:tcPr>
          <w:p w14:paraId="36A1A77A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4B1E89" w14:paraId="36A1A782" w14:textId="77777777" w:rsidTr="00E546DF">
        <w:trPr>
          <w:trHeight w:val="397"/>
        </w:trPr>
        <w:tc>
          <w:tcPr>
            <w:tcW w:w="700" w:type="dxa"/>
          </w:tcPr>
          <w:p w14:paraId="36A1A77C" w14:textId="77777777" w:rsidR="004B1E89" w:rsidRDefault="007E1B5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818" w:type="dxa"/>
          </w:tcPr>
          <w:p w14:paraId="36A1A77D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88" w:type="dxa"/>
          </w:tcPr>
          <w:p w14:paraId="36A1A77E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73" w:type="dxa"/>
          </w:tcPr>
          <w:p w14:paraId="36A1A77F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6A1A780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25" w:type="dxa"/>
          </w:tcPr>
          <w:p w14:paraId="36A1A781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4B1E89" w14:paraId="36A1A789" w14:textId="77777777" w:rsidTr="00E546DF">
        <w:trPr>
          <w:trHeight w:val="397"/>
        </w:trPr>
        <w:tc>
          <w:tcPr>
            <w:tcW w:w="700" w:type="dxa"/>
          </w:tcPr>
          <w:p w14:paraId="36A1A783" w14:textId="77777777" w:rsidR="004B1E89" w:rsidRDefault="004B1E8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818" w:type="dxa"/>
          </w:tcPr>
          <w:p w14:paraId="36A1A784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88" w:type="dxa"/>
          </w:tcPr>
          <w:p w14:paraId="36A1A785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73" w:type="dxa"/>
          </w:tcPr>
          <w:p w14:paraId="36A1A786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6A1A787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25" w:type="dxa"/>
          </w:tcPr>
          <w:p w14:paraId="36A1A788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4B1E89" w14:paraId="36A1A790" w14:textId="77777777" w:rsidTr="00E546DF">
        <w:trPr>
          <w:trHeight w:val="397"/>
        </w:trPr>
        <w:tc>
          <w:tcPr>
            <w:tcW w:w="700" w:type="dxa"/>
          </w:tcPr>
          <w:p w14:paraId="36A1A78A" w14:textId="77777777" w:rsidR="004B1E89" w:rsidRDefault="004B1E8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</w:p>
        </w:tc>
        <w:tc>
          <w:tcPr>
            <w:tcW w:w="1818" w:type="dxa"/>
          </w:tcPr>
          <w:p w14:paraId="36A1A78B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88" w:type="dxa"/>
          </w:tcPr>
          <w:p w14:paraId="36A1A78C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73" w:type="dxa"/>
          </w:tcPr>
          <w:p w14:paraId="36A1A78D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6A1A78E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25" w:type="dxa"/>
          </w:tcPr>
          <w:p w14:paraId="36A1A78F" w14:textId="77777777" w:rsidR="004B1E89" w:rsidRDefault="004B1E89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36A1A791" w14:textId="77777777" w:rsidR="004B1E89" w:rsidRDefault="004B1E89">
      <w:pPr>
        <w:widowControl w:val="0"/>
        <w:spacing w:after="0"/>
        <w:ind w:left="284"/>
        <w:jc w:val="both"/>
        <w:rPr>
          <w:rFonts w:cs="Arial"/>
          <w:b/>
        </w:rPr>
      </w:pPr>
    </w:p>
    <w:p w14:paraId="36A1A792" w14:textId="77777777" w:rsidR="004B1E89" w:rsidRDefault="007E1B59">
      <w:pPr>
        <w:ind w:firstLine="14"/>
        <w:jc w:val="both"/>
      </w:pPr>
      <w:r>
        <w:t xml:space="preserve">Přílohu tohoto seznamu tvoří </w:t>
      </w:r>
      <w:r>
        <w:rPr>
          <w:b/>
          <w:bCs/>
          <w:u w:val="single"/>
        </w:rPr>
        <w:t>osvědčení objednatele</w:t>
      </w:r>
      <w:r>
        <w:t xml:space="preserve"> o řádném poskytnutí a dokončení stavebních prací.</w:t>
      </w:r>
    </w:p>
    <w:tbl>
      <w:tblPr>
        <w:tblpPr w:leftFromText="141" w:rightFromText="141" w:bottomFromText="200" w:vertAnchor="text" w:horzAnchor="margin" w:tblpXSpec="center" w:tblpY="5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985"/>
        <w:gridCol w:w="1847"/>
        <w:gridCol w:w="3539"/>
      </w:tblGrid>
      <w:tr w:rsidR="004B1E89" w14:paraId="36A1A798" w14:textId="77777777" w:rsidTr="00DB65B4">
        <w:trPr>
          <w:trHeight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793" w14:textId="77777777" w:rsidR="004B1E89" w:rsidRDefault="004B1E89">
            <w:pPr>
              <w:suppressAutoHyphens/>
              <w:spacing w:after="0"/>
              <w:jc w:val="center"/>
              <w:rPr>
                <w:rFonts w:cs="Verdana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794" w14:textId="77777777" w:rsidR="004B1E89" w:rsidRDefault="007E1B59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Jméno, příjmení, titul a dosažené vzdělání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795" w14:textId="77777777" w:rsidR="004B1E89" w:rsidRDefault="007E1B59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Pozice a vymezení působnosti při realizaci zakázky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96" w14:textId="77777777" w:rsidR="004B1E89" w:rsidRDefault="007E1B59">
            <w:pPr>
              <w:suppressAutoHyphens/>
              <w:spacing w:after="0"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Současný zaměstnavatel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797" w14:textId="716C29A6" w:rsidR="004B1E89" w:rsidRDefault="00DB65B4">
            <w:pPr>
              <w:suppressAutoHyphens/>
              <w:spacing w:after="0"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Zkušenosti v oboru</w:t>
            </w:r>
          </w:p>
        </w:tc>
      </w:tr>
      <w:tr w:rsidR="004B1E89" w14:paraId="36A1A79E" w14:textId="77777777" w:rsidTr="00DB65B4">
        <w:trPr>
          <w:trHeight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799" w14:textId="77777777" w:rsidR="004B1E89" w:rsidRDefault="007E1B59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9A" w14:textId="77777777" w:rsidR="004B1E89" w:rsidRDefault="004B1E89">
            <w:pPr>
              <w:suppressAutoHyphens/>
              <w:spacing w:after="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9B" w14:textId="77777777" w:rsidR="004B1E89" w:rsidRDefault="004B1E89">
            <w:pPr>
              <w:suppressAutoHyphens/>
              <w:spacing w:after="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9C" w14:textId="77777777" w:rsidR="004B1E89" w:rsidRDefault="004B1E89">
            <w:pPr>
              <w:suppressAutoHyphens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9D" w14:textId="77777777" w:rsidR="004B1E89" w:rsidRDefault="004B1E89">
            <w:pPr>
              <w:suppressAutoHyphens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4B1E89" w14:paraId="36A1A7A4" w14:textId="77777777" w:rsidTr="00DB65B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9F" w14:textId="469F5DF2" w:rsidR="004B1E89" w:rsidRDefault="00DB65B4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A0" w14:textId="77777777" w:rsidR="004B1E89" w:rsidRDefault="004B1E89">
            <w:pPr>
              <w:suppressAutoHyphens/>
              <w:spacing w:after="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A1" w14:textId="77777777" w:rsidR="004B1E89" w:rsidRDefault="004B1E89">
            <w:pPr>
              <w:suppressAutoHyphens/>
              <w:spacing w:after="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A2" w14:textId="77777777" w:rsidR="004B1E89" w:rsidRDefault="004B1E89">
            <w:pPr>
              <w:suppressAutoHyphens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7A3" w14:textId="77777777" w:rsidR="004B1E89" w:rsidRDefault="004B1E89">
            <w:pPr>
              <w:suppressAutoHyphens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C06276" w14:paraId="2105CC60" w14:textId="77777777" w:rsidTr="00DB65B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D07" w14:textId="42A85C57" w:rsidR="00C06276" w:rsidRDefault="00DB65B4">
            <w:pPr>
              <w:suppressAutoHyphens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0CC" w14:textId="77777777" w:rsidR="00C06276" w:rsidRDefault="00C06276">
            <w:pPr>
              <w:suppressAutoHyphens/>
              <w:spacing w:after="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AAB" w14:textId="77777777" w:rsidR="00C06276" w:rsidRDefault="00C06276">
            <w:pPr>
              <w:suppressAutoHyphens/>
              <w:spacing w:after="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601" w14:textId="77777777" w:rsidR="00C06276" w:rsidRDefault="00C06276">
            <w:pPr>
              <w:suppressAutoHyphens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CB6" w14:textId="77777777" w:rsidR="00C06276" w:rsidRDefault="00C06276">
            <w:pPr>
              <w:suppressAutoHyphens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36A1A7A5" w14:textId="77777777" w:rsidR="004B1E89" w:rsidRDefault="007E1B59">
      <w:pPr>
        <w:pStyle w:val="Odstavecseseznamem"/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 na plnění veřejné zakázky se budou podílet následující technici:</w:t>
      </w:r>
    </w:p>
    <w:p w14:paraId="36A1A7A6" w14:textId="77777777" w:rsidR="004B1E89" w:rsidRDefault="004B1E89">
      <w:pPr>
        <w:spacing w:after="0"/>
        <w:jc w:val="both"/>
        <w:rPr>
          <w:rFonts w:cs="Arial"/>
          <w:bCs/>
        </w:rPr>
      </w:pPr>
    </w:p>
    <w:p w14:paraId="36A1A7A8" w14:textId="32B3CF8E" w:rsidR="004B1E89" w:rsidRPr="001E7791" w:rsidRDefault="007E1B59" w:rsidP="001E7791">
      <w:pPr>
        <w:numPr>
          <w:ilvl w:val="0"/>
          <w:numId w:val="30"/>
        </w:numPr>
        <w:suppressAutoHyphens/>
        <w:spacing w:after="120"/>
        <w:jc w:val="both"/>
        <w:rPr>
          <w:bCs/>
        </w:rPr>
      </w:pPr>
      <w:r>
        <w:rPr>
          <w:bCs/>
        </w:rPr>
        <w:t>je / není</w:t>
      </w:r>
      <w:r>
        <w:rPr>
          <w:rStyle w:val="Znakapoznpodarou"/>
          <w:bCs/>
          <w:color w:val="FF0000"/>
        </w:rPr>
        <w:footnoteReference w:id="3"/>
      </w:r>
      <w:r>
        <w:rPr>
          <w:bCs/>
          <w:color w:val="FF0000"/>
          <w:u w:val="single"/>
        </w:rPr>
        <w:t xml:space="preserve"> </w:t>
      </w:r>
      <w:r>
        <w:rPr>
          <w:bCs/>
          <w:u w:val="single"/>
        </w:rPr>
        <w:t>malým nebo středním podnikem</w:t>
      </w:r>
      <w:r>
        <w:t xml:space="preserve"> (</w:t>
      </w:r>
      <w:r>
        <w:rPr>
          <w:bCs/>
        </w:rPr>
        <w:t>kategorie malých a středních podniků definuje doporučení Komise 2003/361/ES);</w:t>
      </w:r>
    </w:p>
    <w:p w14:paraId="36A1A7A9" w14:textId="77777777" w:rsidR="004B1E89" w:rsidRDefault="007E1B59" w:rsidP="001E7791">
      <w:pPr>
        <w:numPr>
          <w:ilvl w:val="0"/>
          <w:numId w:val="30"/>
        </w:numPr>
        <w:suppressAutoHyphens/>
        <w:spacing w:after="120"/>
        <w:ind w:left="714" w:hanging="357"/>
        <w:jc w:val="both"/>
      </w:pPr>
      <w: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626717FA" w:rsidR="004B1E89" w:rsidRDefault="007E1B59" w:rsidP="001E7791">
      <w:pPr>
        <w:numPr>
          <w:ilvl w:val="0"/>
          <w:numId w:val="30"/>
        </w:numPr>
        <w:suppressAutoHyphens/>
        <w:spacing w:after="120"/>
        <w:jc w:val="both"/>
        <w:rPr>
          <w:bCs/>
        </w:rPr>
      </w:pPr>
      <w:r>
        <w:rPr>
          <w:bCs/>
        </w:rPr>
        <w:t xml:space="preserve">se podrobně seznámil s rámcovým návrhem smlouvy, který je přílohou č. </w:t>
      </w:r>
      <w:r w:rsidR="00C06276">
        <w:rPr>
          <w:bCs/>
        </w:rPr>
        <w:t>2</w:t>
      </w:r>
      <w:r>
        <w:rPr>
          <w:bCs/>
        </w:rPr>
        <w:t xml:space="preserve"> zadávací dokumentace, bez výhrad s ním souhlasí a bere na vědomí, že tento rámec obchodních podmínek může platit po celou dobu trvání DNS, </w:t>
      </w:r>
    </w:p>
    <w:p w14:paraId="36A1A7AB" w14:textId="77777777" w:rsidR="004B1E89" w:rsidRDefault="007E1B59" w:rsidP="001E7791">
      <w:pPr>
        <w:keepNext/>
        <w:numPr>
          <w:ilvl w:val="0"/>
          <w:numId w:val="30"/>
        </w:numPr>
        <w:suppressAutoHyphens/>
        <w:spacing w:after="120"/>
        <w:ind w:left="709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Arial"/>
          <w:b/>
          <w:bCs/>
          <w:lang w:eastAsia="cs-CZ"/>
        </w:rPr>
        <w:t>„prohlášení o neexistenci střetu zájmů</w:t>
      </w:r>
      <w:r>
        <w:rPr>
          <w:rFonts w:eastAsia="Times New Roman" w:cs="Arial"/>
          <w:lang w:eastAsia="cs-CZ"/>
        </w:rPr>
        <w:t>“</w:t>
      </w:r>
    </w:p>
    <w:p w14:paraId="36A1A7AC" w14:textId="77777777" w:rsidR="004B1E89" w:rsidRDefault="007E1B59" w:rsidP="001E7791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>
      <w:pPr>
        <w:keepNext/>
        <w:numPr>
          <w:ilvl w:val="0"/>
          <w:numId w:val="31"/>
        </w:numPr>
        <w:suppressAutoHyphens/>
        <w:spacing w:after="24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30B50E4B" w14:textId="77777777" w:rsidR="009E5773" w:rsidRPr="009E5773" w:rsidRDefault="009E5773" w:rsidP="009E577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9E5773">
        <w:rPr>
          <w:rFonts w:eastAsia="Times New Roman" w:cs="Arial"/>
          <w:lang w:eastAsia="cs-CZ"/>
        </w:rPr>
        <w:t>neexistují důvody, pro které by mu nebylo možné zadat veřejnou zakázku ve smyslu článku 5k Nařízení Rady (EU) 2022/576 ze dne 8. dubna 2022, kterým se mění nařízení (EU) č. 833/2014 o omezujících opatřeních vzhledem k činnostem Ruska destabilizujícím situaci na Ukrajině:</w:t>
      </w:r>
    </w:p>
    <w:p w14:paraId="2CF23089" w14:textId="77777777" w:rsidR="009E5773" w:rsidRPr="009E5773" w:rsidRDefault="009E5773" w:rsidP="009E577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cs-CZ"/>
        </w:rPr>
      </w:pPr>
      <w:r w:rsidRPr="009E5773">
        <w:rPr>
          <w:rFonts w:eastAsia="Times New Roman" w:cs="Arial"/>
          <w:lang w:eastAsia="cs-CZ"/>
        </w:rPr>
        <w:lastRenderedPageBreak/>
        <w:t xml:space="preserve">není </w:t>
      </w:r>
      <w:r w:rsidRPr="009E5773">
        <w:rPr>
          <w:rFonts w:eastAsia="Arial" w:cstheme="minorHAnsi"/>
        </w:rPr>
        <w:t>ruským státním příslušníkem, fyzickou či právnickou osobou, subjektem či orgánem se sídlem v Rusku,</w:t>
      </w:r>
    </w:p>
    <w:p w14:paraId="623CB0B7" w14:textId="77777777" w:rsidR="009E5773" w:rsidRPr="009E5773" w:rsidRDefault="009E5773" w:rsidP="009E577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cs-CZ"/>
        </w:rPr>
      </w:pPr>
      <w:r w:rsidRPr="009E5773">
        <w:rPr>
          <w:rFonts w:eastAsia="Arial" w:cstheme="minorHAnsi"/>
        </w:rPr>
        <w:t>není právnickou osobou, subjektem nebo orgánem, který je z více než 50 % přímo či nepřímo vlastněný některým ze subjektů uvedených v písmeni a), nebo</w:t>
      </w:r>
    </w:p>
    <w:p w14:paraId="4D54381E" w14:textId="77777777" w:rsidR="009E5773" w:rsidRPr="009E5773" w:rsidRDefault="009E5773" w:rsidP="009E577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cs-CZ"/>
        </w:rPr>
      </w:pPr>
      <w:r w:rsidRPr="009E5773">
        <w:rPr>
          <w:rFonts w:eastAsia="Arial" w:cstheme="minorHAnsi"/>
        </w:rPr>
        <w:t>není fyzickou nebo právnickou osobou, subjektem nebo orgánem, který jedná jménem nebo na pokyn některého ze subjektů uvedených v písmeni a) nebo b);</w:t>
      </w:r>
    </w:p>
    <w:p w14:paraId="32F9B65C" w14:textId="77777777" w:rsidR="009E5773" w:rsidRPr="009E5773" w:rsidRDefault="009E5773" w:rsidP="009E577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cs-CZ"/>
        </w:rPr>
      </w:pPr>
      <w:r w:rsidRPr="009E5773">
        <w:rPr>
          <w:rFonts w:eastAsia="Arial" w:cstheme="minorHAnsi"/>
        </w:rPr>
        <w:t>nevyužije při plnění veřejné zakázky poddodavatele, který by naplnil výše uvedená písm. a) – c), pokud by plnil více než 10 % hodnoty zakázky;</w:t>
      </w:r>
    </w:p>
    <w:p w14:paraId="30D5AAA2" w14:textId="77777777" w:rsidR="009E5773" w:rsidRPr="009E5773" w:rsidRDefault="009E5773" w:rsidP="009E577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cs-CZ"/>
        </w:rPr>
      </w:pPr>
      <w:r w:rsidRPr="009E5773">
        <w:rPr>
          <w:rFonts w:eastAsia="Arial" w:cstheme="minorHAnsi"/>
        </w:rPr>
        <w:t>neobchoduje se sankcionovaným zbožím, které se nachází v Rusku nebo Bělorusku či z Ruska nebo Běloruska pochází a nenabízím takové zboží v rámci plnění veřejných zakázek;</w:t>
      </w:r>
    </w:p>
    <w:p w14:paraId="0FFFE012" w14:textId="77777777" w:rsidR="009E5773" w:rsidRPr="009E5773" w:rsidRDefault="009E5773" w:rsidP="009E5773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120"/>
        <w:ind w:left="1077" w:hanging="357"/>
        <w:jc w:val="both"/>
        <w:rPr>
          <w:rFonts w:eastAsia="Times New Roman" w:cs="Arial"/>
          <w:lang w:eastAsia="cs-CZ"/>
        </w:rPr>
      </w:pPr>
      <w:r w:rsidRPr="009E5773">
        <w:rPr>
          <w:rFonts w:eastAsia="Arial" w:cstheme="minorHAnsi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E5773">
        <w:rPr>
          <w:vertAlign w:val="superscript"/>
        </w:rPr>
        <w:footnoteReference w:id="4"/>
      </w:r>
      <w:r w:rsidRPr="009E5773">
        <w:rPr>
          <w:rFonts w:eastAsia="Arial" w:cstheme="minorHAnsi"/>
        </w:rPr>
        <w:t>.</w:t>
      </w:r>
    </w:p>
    <w:p w14:paraId="36A1A7AF" w14:textId="4AA33933" w:rsidR="004B1E89" w:rsidRDefault="009E5773" w:rsidP="009E5773">
      <w:pPr>
        <w:numPr>
          <w:ilvl w:val="0"/>
          <w:numId w:val="30"/>
        </w:numPr>
        <w:suppressAutoHyphens/>
        <w:spacing w:after="240"/>
        <w:jc w:val="both"/>
      </w:pPr>
      <w:r w:rsidRPr="009E5773">
        <w:rPr>
          <w:rFonts w:eastAsia="Times New Roman" w:cs="Arial"/>
          <w:lang w:eastAsia="cs-CZ"/>
        </w:rPr>
        <w:t xml:space="preserve">zajistí </w:t>
      </w:r>
      <w:r w:rsidR="007E1B59">
        <w:t xml:space="preserve">při realizaci </w:t>
      </w:r>
      <w:r w:rsidR="00340D2B">
        <w:t xml:space="preserve">dílčích </w:t>
      </w:r>
      <w:r w:rsidR="007E1B59">
        <w:t>veřejn</w:t>
      </w:r>
      <w:r w:rsidR="00340D2B">
        <w:t>ých</w:t>
      </w:r>
      <w:r w:rsidR="007E1B59">
        <w:t xml:space="preserve"> zakáz</w:t>
      </w:r>
      <w:r w:rsidR="00340D2B">
        <w:t>ek</w:t>
      </w:r>
      <w:r w:rsidR="007E1B59">
        <w:t xml:space="preserve"> dodržování principu sociální odpovědnosti (zejména legální zaměstnávání, férové a důstojné pracovní podmínky, bezpečnost práce pro všechny osoby podílející se na</w:t>
      </w:r>
      <w:r w:rsidR="00AA3957">
        <w:t> </w:t>
      </w:r>
      <w:r w:rsidR="007E1B59">
        <w:t>plnění veřejné zakázky a spravedlivé podmínky v rámci celého poddodavatelského řetězce), bude dbát na environmentálně odpovědné chování (minimalizovat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34C14A9C" w:rsidR="004B1E89" w:rsidRDefault="007E1B59">
      <w:pPr>
        <w:pStyle w:val="Odstavecseseznamem"/>
        <w:numPr>
          <w:ilvl w:val="0"/>
          <w:numId w:val="30"/>
        </w:numPr>
        <w:jc w:val="both"/>
        <w:rPr>
          <w:bCs/>
        </w:rPr>
      </w:pPr>
      <w:r>
        <w:rPr>
          <w:bCs/>
        </w:rPr>
        <w:t>podáním své žádosti o účast potvrzuje její správnost a závaznost v plném rozsahu, tj. včetně pravdivosti všech údajů uvedených v tomto souhrnném Prohlášení o tom, že splňuje kvalifikaci definovanou Zákonem a</w:t>
      </w:r>
      <w:r w:rsidR="00AC61DC">
        <w:rPr>
          <w:bCs/>
        </w:rPr>
        <w:t> </w:t>
      </w:r>
      <w:r>
        <w:rPr>
          <w:bCs/>
        </w:rPr>
        <w:t>zadávacími podmínkami v plném rozsahu.</w:t>
      </w:r>
    </w:p>
    <w:p w14:paraId="46CCD44F" w14:textId="77777777" w:rsidR="007630A0" w:rsidRDefault="007630A0" w:rsidP="007630A0">
      <w:pPr>
        <w:pStyle w:val="Odstavecseseznamem"/>
        <w:jc w:val="both"/>
        <w:rPr>
          <w:bCs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77777777" w:rsidR="004B1E89" w:rsidRDefault="004B1E89">
            <w:pPr>
              <w:rPr>
                <w:rFonts w:cs="Arial"/>
              </w:rPr>
            </w:pP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77777777" w:rsidR="004B1E89" w:rsidRDefault="004B1E89">
            <w:pPr>
              <w:rPr>
                <w:rFonts w:cs="Arial"/>
              </w:rPr>
            </w:pPr>
          </w:p>
        </w:tc>
      </w:tr>
      <w:tr w:rsidR="004B1E89" w14:paraId="36A1A7BA" w14:textId="77777777" w:rsidTr="007630A0">
        <w:trPr>
          <w:trHeight w:val="1460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77777777" w:rsidR="004B1E89" w:rsidRDefault="004B1E89">
            <w:pPr>
              <w:rPr>
                <w:rFonts w:cs="Arial"/>
              </w:rPr>
            </w:pP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A7C1" w14:textId="77777777" w:rsidR="004B1E89" w:rsidRDefault="007E1B59">
      <w:pPr>
        <w:spacing w:after="0"/>
      </w:pPr>
      <w:r>
        <w:separator/>
      </w:r>
    </w:p>
  </w:endnote>
  <w:endnote w:type="continuationSeparator" w:id="0">
    <w:p w14:paraId="36A1A7C2" w14:textId="77777777" w:rsidR="004B1E89" w:rsidRDefault="007E1B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A7BF" w14:textId="77777777" w:rsidR="004B1E89" w:rsidRDefault="007E1B59">
      <w:pPr>
        <w:spacing w:after="0"/>
      </w:pPr>
      <w:r>
        <w:separator/>
      </w:r>
    </w:p>
  </w:footnote>
  <w:footnote w:type="continuationSeparator" w:id="0">
    <w:p w14:paraId="36A1A7C0" w14:textId="77777777" w:rsidR="004B1E89" w:rsidRDefault="007E1B59">
      <w:pPr>
        <w:spacing w:after="0"/>
      </w:pPr>
      <w:r>
        <w:continuationSeparator/>
      </w:r>
    </w:p>
  </w:footnote>
  <w:footnote w:id="1">
    <w:p w14:paraId="36A1A7C3" w14:textId="77777777" w:rsidR="004B1E89" w:rsidRDefault="007E1B5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  <w:sz w:val="22"/>
          <w:szCs w:val="22"/>
        </w:rPr>
        <w:footnoteRef/>
      </w:r>
      <w:r>
        <w:rPr>
          <w:sz w:val="22"/>
          <w:szCs w:val="22"/>
        </w:rPr>
        <w:t xml:space="preserve"> Nehodící se škrtněte, v případě společné žádosti o účast uveďte identifikační údaje </w:t>
      </w:r>
      <w:r>
        <w:rPr>
          <w:b/>
          <w:bCs/>
          <w:sz w:val="22"/>
          <w:szCs w:val="22"/>
        </w:rPr>
        <w:t>všech dodavatelů</w:t>
      </w:r>
      <w:r>
        <w:rPr>
          <w:sz w:val="22"/>
          <w:szCs w:val="22"/>
        </w:rPr>
        <w:t>, kteří předkládají společnou žádost o účast.</w:t>
      </w:r>
    </w:p>
  </w:footnote>
  <w:footnote w:id="2">
    <w:p w14:paraId="36A1A7C4" w14:textId="5318A912" w:rsidR="004B1E89" w:rsidRDefault="007E1B59">
      <w:pPr>
        <w:pStyle w:val="Textpoznpodarou"/>
        <w:rPr>
          <w:rFonts w:ascii="Verdana" w:hAnsi="Verdana" w:cs="Verdana"/>
          <w:sz w:val="18"/>
          <w:szCs w:val="18"/>
        </w:rPr>
      </w:pPr>
      <w:r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12/12/2</w:t>
      </w:r>
      <w:r w:rsidR="00340416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 xml:space="preserve"> – 12/06/22</w:t>
      </w:r>
    </w:p>
  </w:footnote>
  <w:footnote w:id="3">
    <w:p w14:paraId="36A1A7C5" w14:textId="77777777" w:rsidR="004B1E89" w:rsidRDefault="007E1B59">
      <w:pPr>
        <w:pStyle w:val="Textpoznpodarou"/>
      </w:pPr>
      <w:r>
        <w:rPr>
          <w:rStyle w:val="Znakapoznpodarou"/>
          <w:color w:val="FF0000"/>
        </w:rPr>
        <w:footnoteRef/>
      </w:r>
      <w:r>
        <w:rPr>
          <w:color w:val="FF0000"/>
        </w:rPr>
        <w:t xml:space="preserve"> nehodící se škrtněte</w:t>
      </w:r>
    </w:p>
  </w:footnote>
  <w:footnote w:id="4">
    <w:p w14:paraId="5388BCAC" w14:textId="77777777" w:rsidR="009E5773" w:rsidRPr="007E6B5B" w:rsidRDefault="009E5773" w:rsidP="009E5773">
      <w:pPr>
        <w:pStyle w:val="Textpoznpodarou"/>
      </w:pPr>
      <w:r w:rsidRPr="007E6B5B">
        <w:rPr>
          <w:rStyle w:val="Znakapoznpodarou"/>
          <w:rFonts w:eastAsiaTheme="majorEastAsia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eastAsiaTheme="majorEastAsia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6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1480079">
    <w:abstractNumId w:val="24"/>
  </w:num>
  <w:num w:numId="2" w16cid:durableId="1488865735">
    <w:abstractNumId w:val="12"/>
  </w:num>
  <w:num w:numId="3" w16cid:durableId="1167330348">
    <w:abstractNumId w:val="6"/>
  </w:num>
  <w:num w:numId="4" w16cid:durableId="469709400">
    <w:abstractNumId w:val="6"/>
    <w:lvlOverride w:ilvl="0">
      <w:startOverride w:val="1"/>
    </w:lvlOverride>
  </w:num>
  <w:num w:numId="5" w16cid:durableId="1140802588">
    <w:abstractNumId w:val="11"/>
  </w:num>
  <w:num w:numId="6" w16cid:durableId="1619096830">
    <w:abstractNumId w:val="28"/>
  </w:num>
  <w:num w:numId="7" w16cid:durableId="1058018836">
    <w:abstractNumId w:val="8"/>
  </w:num>
  <w:num w:numId="8" w16cid:durableId="957106347">
    <w:abstractNumId w:val="7"/>
  </w:num>
  <w:num w:numId="9" w16cid:durableId="2090038343">
    <w:abstractNumId w:val="17"/>
  </w:num>
  <w:num w:numId="10" w16cid:durableId="700866163">
    <w:abstractNumId w:val="19"/>
  </w:num>
  <w:num w:numId="11" w16cid:durableId="1769885940">
    <w:abstractNumId w:val="25"/>
  </w:num>
  <w:num w:numId="12" w16cid:durableId="1878423111">
    <w:abstractNumId w:val="21"/>
  </w:num>
  <w:num w:numId="13" w16cid:durableId="259260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716035">
    <w:abstractNumId w:val="13"/>
  </w:num>
  <w:num w:numId="15" w16cid:durableId="462041677">
    <w:abstractNumId w:val="27"/>
  </w:num>
  <w:num w:numId="16" w16cid:durableId="708722855">
    <w:abstractNumId w:val="5"/>
  </w:num>
  <w:num w:numId="17" w16cid:durableId="1397586344">
    <w:abstractNumId w:val="10"/>
  </w:num>
  <w:num w:numId="18" w16cid:durableId="1812084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116157">
    <w:abstractNumId w:val="0"/>
  </w:num>
  <w:num w:numId="20" w16cid:durableId="930284706">
    <w:abstractNumId w:val="1"/>
  </w:num>
  <w:num w:numId="21" w16cid:durableId="516384909">
    <w:abstractNumId w:val="30"/>
  </w:num>
  <w:num w:numId="22" w16cid:durableId="155923245">
    <w:abstractNumId w:val="9"/>
  </w:num>
  <w:num w:numId="23" w16cid:durableId="736780681">
    <w:abstractNumId w:val="14"/>
  </w:num>
  <w:num w:numId="24" w16cid:durableId="1855613707">
    <w:abstractNumId w:val="23"/>
  </w:num>
  <w:num w:numId="25" w16cid:durableId="797919644">
    <w:abstractNumId w:val="16"/>
  </w:num>
  <w:num w:numId="26" w16cid:durableId="1315379605">
    <w:abstractNumId w:val="18"/>
  </w:num>
  <w:num w:numId="27" w16cid:durableId="19272251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66347063">
    <w:abstractNumId w:val="3"/>
  </w:num>
  <w:num w:numId="29" w16cid:durableId="1201548343">
    <w:abstractNumId w:val="22"/>
  </w:num>
  <w:num w:numId="30" w16cid:durableId="290015258">
    <w:abstractNumId w:val="26"/>
  </w:num>
  <w:num w:numId="31" w16cid:durableId="853688092">
    <w:abstractNumId w:val="2"/>
  </w:num>
  <w:num w:numId="32" w16cid:durableId="1196382864">
    <w:abstractNumId w:val="4"/>
  </w:num>
  <w:num w:numId="33" w16cid:durableId="676735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89"/>
    <w:rsid w:val="001E7791"/>
    <w:rsid w:val="00340416"/>
    <w:rsid w:val="00340D2B"/>
    <w:rsid w:val="004B1E89"/>
    <w:rsid w:val="005956F0"/>
    <w:rsid w:val="005B600A"/>
    <w:rsid w:val="007630A0"/>
    <w:rsid w:val="007E1B59"/>
    <w:rsid w:val="007F73C3"/>
    <w:rsid w:val="00815D8B"/>
    <w:rsid w:val="00924F0A"/>
    <w:rsid w:val="0094354B"/>
    <w:rsid w:val="009E5773"/>
    <w:rsid w:val="009F64DC"/>
    <w:rsid w:val="00AA3957"/>
    <w:rsid w:val="00AC61DC"/>
    <w:rsid w:val="00B7454D"/>
    <w:rsid w:val="00C06276"/>
    <w:rsid w:val="00C23D2A"/>
    <w:rsid w:val="00DA1C32"/>
    <w:rsid w:val="00DB65B4"/>
    <w:rsid w:val="00E546DF"/>
    <w:rsid w:val="00F22657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qFormat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brno-stred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brno-stred.cz/profile_display_2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9170C-1F27-44E3-ADBE-78EA4070640A}">
  <ds:schemaRefs>
    <ds:schemaRef ds:uri="http://purl.org/dc/elements/1.1/"/>
    <ds:schemaRef ds:uri="http://schemas.microsoft.com/office/2006/metadata/properties"/>
    <ds:schemaRef ds:uri="f7d28bfc-9201-4d68-9448-6211baf1e4c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4d72d6-24a8-407a-b229-5f63afbc85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410D6-846B-40A4-AD8A-E1FA87B56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Adéla Palovská</cp:lastModifiedBy>
  <cp:revision>3</cp:revision>
  <dcterms:created xsi:type="dcterms:W3CDTF">2025-03-14T08:49:00Z</dcterms:created>
  <dcterms:modified xsi:type="dcterms:W3CDTF">2025-04-16T19:28:00Z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